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B0C60D">
      <w:pPr>
        <w:keepNext/>
        <w:spacing w:line="560" w:lineRule="exact"/>
        <w:jc w:val="center"/>
        <w:rPr>
          <w:rFonts w:ascii="FangSong_GB2312" w:hAnsi="FangSong_GB2312" w:eastAsia="FangSong_GB2312" w:cs="FangSong_GB2312"/>
          <w:b/>
          <w:bCs/>
          <w:sz w:val="32"/>
          <w:szCs w:val="32"/>
        </w:rPr>
      </w:pPr>
      <w:r>
        <w:rPr>
          <w:rFonts w:ascii="FangSong_GB2312" w:hAnsi="FangSong_GB2312" w:eastAsia="FangSong_GB2312" w:cs="FangSong_GB2312"/>
          <w:b/>
          <w:bCs/>
          <w:sz w:val="32"/>
          <w:szCs w:val="32"/>
        </w:rPr>
        <w:t>淳安县第一人民医院</w:t>
      </w:r>
    </w:p>
    <w:p w14:paraId="47F098C3">
      <w:pPr>
        <w:keepNext/>
        <w:spacing w:line="560" w:lineRule="exact"/>
        <w:jc w:val="center"/>
        <w:rPr>
          <w:rFonts w:ascii="FangSong_GB2312" w:hAnsi="FangSong_GB2312" w:eastAsia="FangSong_GB2312" w:cs="FangSong_GB2312"/>
          <w:b/>
          <w:bCs/>
          <w:sz w:val="32"/>
          <w:szCs w:val="32"/>
        </w:rPr>
      </w:pPr>
      <w:r>
        <w:rPr>
          <w:rFonts w:ascii="FangSong_GB2312" w:hAnsi="FangSong_GB2312" w:eastAsia="FangSong_GB2312" w:cs="FangSong_GB2312"/>
          <w:b/>
          <w:bCs/>
          <w:sz w:val="32"/>
          <w:szCs w:val="32"/>
        </w:rPr>
        <w:t>网络整理与割接服务要求</w:t>
      </w:r>
    </w:p>
    <w:p w14:paraId="476FFD88">
      <w:pPr>
        <w:pStyle w:val="2"/>
        <w:ind w:firstLine="210"/>
        <w:rPr>
          <w:rFonts w:hint="eastAsia"/>
        </w:rPr>
      </w:pPr>
    </w:p>
    <w:p w14:paraId="0E121598">
      <w:pPr>
        <w:spacing w:line="560" w:lineRule="exact"/>
        <w:ind w:firstLine="640" w:firstLineChars="200"/>
        <w:jc w:val="left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</w:rPr>
        <w:t>本要求为《网络整理与割接服务询价公告》的附件，与公告共同构成本次询价文件。</w:t>
      </w:r>
    </w:p>
    <w:p w14:paraId="2256F3CF">
      <w:pPr>
        <w:keepNext/>
        <w:spacing w:line="560" w:lineRule="exact"/>
        <w:jc w:val="left"/>
        <w:rPr>
          <w:rFonts w:ascii="FangSong_GB2312" w:hAnsi="FangSong_GB2312" w:eastAsia="FangSong_GB2312" w:cs="FangSong_GB2312"/>
          <w:b/>
          <w:bCs/>
          <w:sz w:val="32"/>
          <w:szCs w:val="32"/>
        </w:rPr>
      </w:pPr>
      <w:r>
        <w:rPr>
          <w:rFonts w:ascii="FangSong_GB2312" w:hAnsi="FangSong_GB2312" w:eastAsia="FangSong_GB2312" w:cs="FangSong_GB2312"/>
          <w:b/>
          <w:bCs/>
          <w:sz w:val="32"/>
          <w:szCs w:val="32"/>
        </w:rPr>
        <w:t>1 服务内容</w:t>
      </w:r>
    </w:p>
    <w:p w14:paraId="597B6603">
      <w:pPr>
        <w:spacing w:line="560" w:lineRule="exact"/>
        <w:ind w:firstLine="640" w:firstLineChars="200"/>
        <w:jc w:val="left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</w:rPr>
        <w:t>1、本次服务包括数据中心</w:t>
      </w:r>
      <w:r>
        <w:rPr>
          <w:rFonts w:hint="eastAsia" w:ascii="FangSong_GB2312" w:hAnsi="FangSong_GB2312" w:eastAsia="FangSong_GB2312" w:cs="FangSong_GB2312"/>
          <w:sz w:val="32"/>
          <w:szCs w:val="32"/>
        </w:rPr>
        <w:t>内</w:t>
      </w:r>
      <w:r>
        <w:rPr>
          <w:rFonts w:ascii="FangSong_GB2312" w:hAnsi="FangSong_GB2312" w:eastAsia="FangSong_GB2312" w:cs="FangSong_GB2312"/>
          <w:sz w:val="32"/>
          <w:szCs w:val="32"/>
        </w:rPr>
        <w:t>外网核心交换机实施与割接</w:t>
      </w:r>
      <w:r>
        <w:rPr>
          <w:rFonts w:hint="eastAsia" w:ascii="FangSong_GB2312" w:hAnsi="FangSong_GB2312" w:eastAsia="FangSong_GB2312" w:cs="FangSong_GB2312"/>
          <w:sz w:val="32"/>
          <w:szCs w:val="32"/>
        </w:rPr>
        <w:t>，</w:t>
      </w:r>
      <w:r>
        <w:rPr>
          <w:rFonts w:ascii="FangSong_GB2312" w:hAnsi="FangSong_GB2312" w:eastAsia="FangSong_GB2312" w:cs="FangSong_GB2312"/>
          <w:sz w:val="32"/>
          <w:szCs w:val="32"/>
        </w:rPr>
        <w:t>住院楼相关网络设备实施，以及医技楼、门诊楼和行政楼相关楼层交换机更换、网络整理及业务恢复。具体实施位置和设备清单由我院在实施前确认。</w:t>
      </w:r>
    </w:p>
    <w:p w14:paraId="4F1DF10E">
      <w:pPr>
        <w:spacing w:line="560" w:lineRule="exact"/>
        <w:ind w:firstLine="640" w:firstLineChars="200"/>
        <w:jc w:val="left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</w:rPr>
        <w:t>2、本次核心割接涉及的原有上联恢复及连通性核验纳入核心验证。</w:t>
      </w:r>
    </w:p>
    <w:p w14:paraId="5675E9D3">
      <w:pPr>
        <w:spacing w:line="560" w:lineRule="exact"/>
        <w:ind w:firstLine="640" w:firstLineChars="200"/>
        <w:jc w:val="left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</w:rPr>
        <w:t>3、实施方负责现网勘查、方案设计、配置备份、设备上架与更换、分批割接、线缆核查整理及双端标签、业务恢复验证、培训和资料移交。门诊楼线路严重杂乱，应重点安排疑难追线及分批恢复。</w:t>
      </w:r>
    </w:p>
    <w:p w14:paraId="0553B3FD">
      <w:pPr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b/>
          <w:bCs/>
          <w:sz w:val="32"/>
          <w:szCs w:val="32"/>
        </w:rPr>
        <w:t>交换机及井道数量清单</w:t>
      </w:r>
    </w:p>
    <w:tbl>
      <w:tblPr>
        <w:tblStyle w:val="6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19"/>
        <w:gridCol w:w="2705"/>
        <w:gridCol w:w="2494"/>
      </w:tblGrid>
      <w:tr w14:paraId="1E6F695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321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2C92A0">
            <w:pPr>
              <w:jc w:val="center"/>
              <w:rPr>
                <w:rFonts w:ascii="FangSong_GB2312" w:hAnsi="FangSong_GB2312" w:eastAsia="FangSong_GB2312" w:cs="FangSong_GB2312"/>
                <w:sz w:val="32"/>
                <w:szCs w:val="32"/>
              </w:rPr>
            </w:pPr>
            <w:r>
              <w:rPr>
                <w:rFonts w:ascii="FangSong_GB2312" w:hAnsi="FangSong_GB2312" w:eastAsia="FangSong_GB2312" w:cs="FangSong_GB2312"/>
                <w:sz w:val="32"/>
                <w:szCs w:val="32"/>
              </w:rPr>
              <w:t>楼栋或区域</w:t>
            </w:r>
          </w:p>
        </w:tc>
        <w:tc>
          <w:tcPr>
            <w:tcW w:w="27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01FA4A">
            <w:pPr>
              <w:jc w:val="center"/>
              <w:rPr>
                <w:rFonts w:ascii="FangSong_GB2312" w:hAnsi="FangSong_GB2312" w:eastAsia="FangSong_GB2312" w:cs="FangSong_GB2312"/>
                <w:sz w:val="32"/>
                <w:szCs w:val="32"/>
              </w:rPr>
            </w:pPr>
            <w:r>
              <w:rPr>
                <w:rFonts w:ascii="FangSong_GB2312" w:hAnsi="FangSong_GB2312" w:eastAsia="FangSong_GB2312" w:cs="FangSong_GB2312"/>
                <w:sz w:val="32"/>
                <w:szCs w:val="32"/>
              </w:rPr>
              <w:t>交换机数量（台）</w:t>
            </w:r>
          </w:p>
        </w:tc>
        <w:tc>
          <w:tcPr>
            <w:tcW w:w="249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EBAD97">
            <w:pPr>
              <w:jc w:val="center"/>
              <w:rPr>
                <w:rFonts w:ascii="FangSong_GB2312" w:hAnsi="FangSong_GB2312" w:eastAsia="FangSong_GB2312" w:cs="FangSong_GB2312"/>
                <w:sz w:val="32"/>
                <w:szCs w:val="32"/>
              </w:rPr>
            </w:pPr>
            <w:r>
              <w:rPr>
                <w:rFonts w:ascii="FangSong_GB2312" w:hAnsi="FangSong_GB2312" w:eastAsia="FangSong_GB2312" w:cs="FangSong_GB2312"/>
                <w:sz w:val="32"/>
                <w:szCs w:val="32"/>
              </w:rPr>
              <w:t>井道数量（个）</w:t>
            </w:r>
          </w:p>
        </w:tc>
      </w:tr>
      <w:tr w14:paraId="3EB762A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2" w:hRule="atLeast"/>
        </w:trPr>
        <w:tc>
          <w:tcPr>
            <w:tcW w:w="321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295FF6">
            <w:pPr>
              <w:rPr>
                <w:rFonts w:ascii="FangSong_GB2312" w:hAnsi="FangSong_GB2312" w:eastAsia="FangSong_GB2312" w:cs="FangSong_GB2312"/>
                <w:sz w:val="32"/>
                <w:szCs w:val="32"/>
              </w:rPr>
            </w:pPr>
            <w:r>
              <w:rPr>
                <w:rFonts w:ascii="FangSong_GB2312" w:hAnsi="FangSong_GB2312" w:eastAsia="FangSong_GB2312" w:cs="FangSong_GB2312"/>
                <w:sz w:val="32"/>
                <w:szCs w:val="32"/>
              </w:rPr>
              <w:t>医技楼</w:t>
            </w:r>
          </w:p>
        </w:tc>
        <w:tc>
          <w:tcPr>
            <w:tcW w:w="27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533808">
            <w:pPr>
              <w:rPr>
                <w:rFonts w:ascii="FangSong_GB2312" w:hAnsi="FangSong_GB2312" w:eastAsia="FangSong_GB2312" w:cs="FangSong_GB2312"/>
                <w:sz w:val="32"/>
                <w:szCs w:val="32"/>
              </w:rPr>
            </w:pPr>
            <w:r>
              <w:rPr>
                <w:rFonts w:ascii="FangSong_GB2312" w:hAnsi="FangSong_GB2312" w:eastAsia="FangSong_GB2312" w:cs="FangSong_GB2312"/>
                <w:sz w:val="32"/>
                <w:szCs w:val="32"/>
              </w:rPr>
              <w:t>3</w:t>
            </w:r>
          </w:p>
        </w:tc>
        <w:tc>
          <w:tcPr>
            <w:tcW w:w="249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9978AC">
            <w:pPr>
              <w:rPr>
                <w:rFonts w:ascii="FangSong_GB2312" w:hAnsi="FangSong_GB2312" w:eastAsia="FangSong_GB2312" w:cs="FangSong_GB2312"/>
                <w:sz w:val="32"/>
                <w:szCs w:val="32"/>
              </w:rPr>
            </w:pPr>
            <w:r>
              <w:rPr>
                <w:rFonts w:hint="eastAsia" w:ascii="FangSong_GB2312" w:hAnsi="FangSong_GB2312" w:eastAsia="FangSong_GB2312" w:cs="FangSong_GB2312"/>
                <w:sz w:val="32"/>
                <w:szCs w:val="32"/>
              </w:rPr>
              <w:t>3</w:t>
            </w:r>
          </w:p>
        </w:tc>
      </w:tr>
      <w:tr w14:paraId="286E02F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</w:trPr>
        <w:tc>
          <w:tcPr>
            <w:tcW w:w="321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50B0C2">
            <w:pPr>
              <w:rPr>
                <w:rFonts w:ascii="FangSong_GB2312" w:hAnsi="FangSong_GB2312" w:eastAsia="FangSong_GB2312" w:cs="FangSong_GB2312"/>
                <w:sz w:val="32"/>
                <w:szCs w:val="32"/>
              </w:rPr>
            </w:pPr>
            <w:r>
              <w:rPr>
                <w:rFonts w:ascii="FangSong_GB2312" w:hAnsi="FangSong_GB2312" w:eastAsia="FangSong_GB2312" w:cs="FangSong_GB2312"/>
                <w:sz w:val="32"/>
                <w:szCs w:val="32"/>
              </w:rPr>
              <w:t>门诊楼</w:t>
            </w:r>
          </w:p>
        </w:tc>
        <w:tc>
          <w:tcPr>
            <w:tcW w:w="27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99C144">
            <w:pPr>
              <w:rPr>
                <w:rFonts w:ascii="FangSong_GB2312" w:hAnsi="FangSong_GB2312" w:eastAsia="FangSong_GB2312" w:cs="FangSong_GB2312"/>
                <w:sz w:val="32"/>
                <w:szCs w:val="32"/>
              </w:rPr>
            </w:pPr>
            <w:r>
              <w:rPr>
                <w:rFonts w:ascii="FangSong_GB2312" w:hAnsi="FangSong_GB2312" w:eastAsia="FangSong_GB2312" w:cs="FangSong_GB2312"/>
                <w:sz w:val="32"/>
                <w:szCs w:val="32"/>
              </w:rPr>
              <w:t>9</w:t>
            </w:r>
          </w:p>
        </w:tc>
        <w:tc>
          <w:tcPr>
            <w:tcW w:w="249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982FC9">
            <w:pPr>
              <w:rPr>
                <w:rFonts w:ascii="FangSong_GB2312" w:hAnsi="FangSong_GB2312" w:eastAsia="FangSong_GB2312" w:cs="FangSong_GB2312"/>
                <w:sz w:val="32"/>
                <w:szCs w:val="32"/>
              </w:rPr>
            </w:pPr>
            <w:r>
              <w:rPr>
                <w:rFonts w:hint="eastAsia" w:ascii="FangSong_GB2312" w:hAnsi="FangSong_GB2312" w:eastAsia="FangSong_GB2312" w:cs="FangSong_GB2312"/>
                <w:sz w:val="32"/>
                <w:szCs w:val="32"/>
              </w:rPr>
              <w:t>4</w:t>
            </w:r>
          </w:p>
        </w:tc>
      </w:tr>
      <w:tr w14:paraId="5DAD646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21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73B7FC">
            <w:pPr>
              <w:rPr>
                <w:rFonts w:ascii="FangSong_GB2312" w:hAnsi="FangSong_GB2312" w:eastAsia="FangSong_GB2312" w:cs="FangSong_GB2312"/>
                <w:sz w:val="32"/>
                <w:szCs w:val="32"/>
              </w:rPr>
            </w:pPr>
            <w:r>
              <w:rPr>
                <w:rFonts w:ascii="FangSong_GB2312" w:hAnsi="FangSong_GB2312" w:eastAsia="FangSong_GB2312" w:cs="FangSong_GB2312"/>
                <w:sz w:val="32"/>
                <w:szCs w:val="32"/>
              </w:rPr>
              <w:t>行政楼</w:t>
            </w:r>
          </w:p>
        </w:tc>
        <w:tc>
          <w:tcPr>
            <w:tcW w:w="27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660F9F">
            <w:pPr>
              <w:rPr>
                <w:rFonts w:ascii="FangSong_GB2312" w:hAnsi="FangSong_GB2312" w:eastAsia="FangSong_GB2312" w:cs="FangSong_GB2312"/>
                <w:sz w:val="32"/>
                <w:szCs w:val="32"/>
              </w:rPr>
            </w:pPr>
            <w:r>
              <w:rPr>
                <w:rFonts w:ascii="FangSong_GB2312" w:hAnsi="FangSong_GB2312" w:eastAsia="FangSong_GB2312" w:cs="FangSong_GB2312"/>
                <w:sz w:val="32"/>
                <w:szCs w:val="32"/>
              </w:rPr>
              <w:t>3</w:t>
            </w:r>
          </w:p>
        </w:tc>
        <w:tc>
          <w:tcPr>
            <w:tcW w:w="249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720EC5">
            <w:pPr>
              <w:rPr>
                <w:rFonts w:ascii="FangSong_GB2312" w:hAnsi="FangSong_GB2312" w:eastAsia="FangSong_GB2312" w:cs="FangSong_GB2312"/>
                <w:sz w:val="32"/>
                <w:szCs w:val="32"/>
              </w:rPr>
            </w:pPr>
            <w:r>
              <w:rPr>
                <w:rFonts w:hint="eastAsia" w:ascii="FangSong_GB2312" w:hAnsi="FangSong_GB2312" w:eastAsia="FangSong_GB2312" w:cs="FangSong_GB2312"/>
                <w:sz w:val="32"/>
                <w:szCs w:val="32"/>
              </w:rPr>
              <w:t>3</w:t>
            </w:r>
          </w:p>
        </w:tc>
      </w:tr>
      <w:tr w14:paraId="258F07D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21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F165CF">
            <w:pPr>
              <w:rPr>
                <w:rFonts w:ascii="FangSong_GB2312" w:hAnsi="FangSong_GB2312" w:eastAsia="FangSong_GB2312" w:cs="FangSong_GB2312"/>
                <w:sz w:val="32"/>
                <w:szCs w:val="32"/>
              </w:rPr>
            </w:pPr>
            <w:r>
              <w:rPr>
                <w:rFonts w:ascii="FangSong_GB2312" w:hAnsi="FangSong_GB2312" w:eastAsia="FangSong_GB2312" w:cs="FangSong_GB2312"/>
                <w:sz w:val="32"/>
                <w:szCs w:val="32"/>
              </w:rPr>
              <w:t>2号住院楼</w:t>
            </w:r>
          </w:p>
        </w:tc>
        <w:tc>
          <w:tcPr>
            <w:tcW w:w="27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DB9E59">
            <w:pPr>
              <w:rPr>
                <w:rFonts w:ascii="FangSong_GB2312" w:hAnsi="FangSong_GB2312" w:eastAsia="FangSong_GB2312" w:cs="FangSong_GB2312"/>
                <w:sz w:val="32"/>
                <w:szCs w:val="32"/>
              </w:rPr>
            </w:pPr>
            <w:r>
              <w:rPr>
                <w:rFonts w:ascii="FangSong_GB2312" w:hAnsi="FangSong_GB2312" w:eastAsia="FangSong_GB2312" w:cs="FangSong_GB2312"/>
                <w:sz w:val="32"/>
                <w:szCs w:val="32"/>
              </w:rPr>
              <w:t>3</w:t>
            </w:r>
          </w:p>
        </w:tc>
        <w:tc>
          <w:tcPr>
            <w:tcW w:w="249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56A89A">
            <w:pPr>
              <w:rPr>
                <w:rFonts w:ascii="FangSong_GB2312" w:hAnsi="FangSong_GB2312" w:eastAsia="FangSong_GB2312" w:cs="FangSong_GB2312"/>
                <w:sz w:val="32"/>
                <w:szCs w:val="32"/>
              </w:rPr>
            </w:pPr>
            <w:r>
              <w:rPr>
                <w:rFonts w:hint="eastAsia" w:ascii="FangSong_GB2312" w:hAnsi="FangSong_GB2312" w:eastAsia="FangSong_GB2312" w:cs="FangSong_GB2312"/>
                <w:sz w:val="32"/>
                <w:szCs w:val="32"/>
              </w:rPr>
              <w:t>3</w:t>
            </w:r>
          </w:p>
        </w:tc>
      </w:tr>
      <w:tr w14:paraId="01F996C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21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2CB285">
            <w:pPr>
              <w:rPr>
                <w:rFonts w:ascii="FangSong_GB2312" w:hAnsi="FangSong_GB2312" w:eastAsia="FangSong_GB2312" w:cs="FangSong_GB2312"/>
                <w:sz w:val="32"/>
                <w:szCs w:val="32"/>
              </w:rPr>
            </w:pPr>
            <w:r>
              <w:rPr>
                <w:rFonts w:ascii="FangSong_GB2312" w:hAnsi="FangSong_GB2312" w:eastAsia="FangSong_GB2312" w:cs="FangSong_GB2312"/>
                <w:sz w:val="32"/>
                <w:szCs w:val="32"/>
              </w:rPr>
              <w:t>数据中心外网核心</w:t>
            </w:r>
          </w:p>
        </w:tc>
        <w:tc>
          <w:tcPr>
            <w:tcW w:w="27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C99C56">
            <w:pPr>
              <w:rPr>
                <w:rFonts w:ascii="FangSong_GB2312" w:hAnsi="FangSong_GB2312" w:eastAsia="FangSong_GB2312" w:cs="FangSong_GB2312"/>
                <w:sz w:val="32"/>
                <w:szCs w:val="32"/>
              </w:rPr>
            </w:pPr>
            <w:r>
              <w:rPr>
                <w:rFonts w:ascii="FangSong_GB2312" w:hAnsi="FangSong_GB2312" w:eastAsia="FangSong_GB2312" w:cs="FangSong_GB2312"/>
                <w:sz w:val="32"/>
                <w:szCs w:val="32"/>
              </w:rPr>
              <w:t>2</w:t>
            </w:r>
          </w:p>
        </w:tc>
        <w:tc>
          <w:tcPr>
            <w:tcW w:w="249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7F9164">
            <w:pPr>
              <w:rPr>
                <w:rFonts w:ascii="FangSong_GB2312" w:hAnsi="FangSong_GB2312" w:eastAsia="FangSong_GB2312" w:cs="FangSong_GB2312"/>
                <w:sz w:val="32"/>
                <w:szCs w:val="32"/>
              </w:rPr>
            </w:pPr>
            <w:bookmarkStart w:id="0" w:name="OLE_LINK1"/>
            <w:r>
              <w:rPr>
                <w:rFonts w:hint="eastAsia" w:ascii="FangSong_GB2312" w:hAnsi="FangSong_GB2312" w:eastAsia="FangSong_GB2312" w:cs="FangSong_GB2312"/>
                <w:sz w:val="32"/>
                <w:szCs w:val="32"/>
              </w:rPr>
              <w:t>无</w:t>
            </w:r>
            <w:bookmarkEnd w:id="0"/>
          </w:p>
        </w:tc>
      </w:tr>
      <w:tr w14:paraId="6FBD94C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21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1AF868">
            <w:pPr>
              <w:rPr>
                <w:rFonts w:ascii="FangSong_GB2312" w:hAnsi="FangSong_GB2312" w:eastAsia="FangSong_GB2312" w:cs="FangSong_GB2312"/>
                <w:sz w:val="32"/>
                <w:szCs w:val="32"/>
              </w:rPr>
            </w:pPr>
            <w:r>
              <w:rPr>
                <w:rFonts w:ascii="FangSong_GB2312" w:hAnsi="FangSong_GB2312" w:eastAsia="FangSong_GB2312" w:cs="FangSong_GB2312"/>
                <w:sz w:val="32"/>
                <w:szCs w:val="32"/>
              </w:rPr>
              <w:t>数据中心内网核心</w:t>
            </w:r>
          </w:p>
        </w:tc>
        <w:tc>
          <w:tcPr>
            <w:tcW w:w="27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B8A7FE">
            <w:pPr>
              <w:rPr>
                <w:rFonts w:ascii="FangSong_GB2312" w:hAnsi="FangSong_GB2312" w:eastAsia="FangSong_GB2312" w:cs="FangSong_GB2312"/>
                <w:sz w:val="32"/>
                <w:szCs w:val="32"/>
              </w:rPr>
            </w:pPr>
            <w:r>
              <w:rPr>
                <w:rFonts w:hint="eastAsia" w:ascii="FangSong_GB2312" w:hAnsi="FangSong_GB2312" w:eastAsia="FangSong_GB2312" w:cs="FangSong_GB2312"/>
                <w:sz w:val="32"/>
                <w:szCs w:val="32"/>
              </w:rPr>
              <w:t>2</w:t>
            </w:r>
          </w:p>
        </w:tc>
        <w:tc>
          <w:tcPr>
            <w:tcW w:w="249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118F91">
            <w:pPr>
              <w:rPr>
                <w:rFonts w:ascii="FangSong_GB2312" w:hAnsi="FangSong_GB2312" w:eastAsia="FangSong_GB2312" w:cs="FangSong_GB2312"/>
                <w:sz w:val="32"/>
                <w:szCs w:val="32"/>
              </w:rPr>
            </w:pPr>
            <w:r>
              <w:rPr>
                <w:rFonts w:hint="eastAsia" w:ascii="FangSong_GB2312" w:hAnsi="FangSong_GB2312" w:eastAsia="FangSong_GB2312" w:cs="FangSong_GB2312"/>
                <w:sz w:val="32"/>
                <w:szCs w:val="32"/>
              </w:rPr>
              <w:t>无</w:t>
            </w:r>
          </w:p>
        </w:tc>
      </w:tr>
      <w:tr w14:paraId="31915FA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21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016DBC">
            <w:pPr>
              <w:rPr>
                <w:rFonts w:ascii="FangSong_GB2312" w:hAnsi="FangSong_GB2312" w:eastAsia="FangSong_GB2312" w:cs="FangSong_GB2312"/>
                <w:sz w:val="32"/>
                <w:szCs w:val="32"/>
              </w:rPr>
            </w:pPr>
            <w:r>
              <w:rPr>
                <w:rFonts w:ascii="FangSong_GB2312" w:hAnsi="FangSong_GB2312" w:eastAsia="FangSong_GB2312" w:cs="FangSong_GB2312"/>
                <w:sz w:val="32"/>
                <w:szCs w:val="32"/>
              </w:rPr>
              <w:t>住院楼其他实施区域</w:t>
            </w:r>
          </w:p>
        </w:tc>
        <w:tc>
          <w:tcPr>
            <w:tcW w:w="27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DB9E3C">
            <w:pPr>
              <w:rPr>
                <w:rFonts w:ascii="FangSong_GB2312" w:hAnsi="FangSong_GB2312" w:eastAsia="FangSong_GB2312" w:cs="FangSong_GB2312"/>
                <w:sz w:val="32"/>
                <w:szCs w:val="32"/>
              </w:rPr>
            </w:pPr>
            <w:r>
              <w:rPr>
                <w:rFonts w:hint="eastAsia" w:ascii="FangSong_GB2312" w:hAnsi="FangSong_GB2312" w:eastAsia="FangSong_GB2312" w:cs="FangSong_GB2312"/>
                <w:sz w:val="32"/>
                <w:szCs w:val="32"/>
              </w:rPr>
              <w:t>若干</w:t>
            </w:r>
          </w:p>
        </w:tc>
        <w:tc>
          <w:tcPr>
            <w:tcW w:w="249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5254F0">
            <w:pPr>
              <w:rPr>
                <w:rFonts w:ascii="FangSong_GB2312" w:hAnsi="FangSong_GB2312" w:eastAsia="FangSong_GB2312" w:cs="FangSong_GB2312"/>
                <w:sz w:val="32"/>
                <w:szCs w:val="32"/>
              </w:rPr>
            </w:pPr>
            <w:r>
              <w:rPr>
                <w:rFonts w:hint="eastAsia" w:ascii="FangSong_GB2312" w:hAnsi="FangSong_GB2312" w:eastAsia="FangSong_GB2312" w:cs="FangSong_GB2312"/>
                <w:sz w:val="32"/>
                <w:szCs w:val="32"/>
              </w:rPr>
              <w:t>12</w:t>
            </w:r>
          </w:p>
        </w:tc>
      </w:tr>
    </w:tbl>
    <w:p w14:paraId="48F817C3">
      <w:r>
        <w:rPr>
          <w:rFonts w:hint="eastAsia"/>
          <w:sz w:val="24"/>
          <w:szCs w:val="32"/>
        </w:rPr>
        <w:t>注：包含不仅限以上表格内容，以实际实施内容为准</w:t>
      </w:r>
      <w:r>
        <w:rPr>
          <w:sz w:val="24"/>
          <w:szCs w:val="32"/>
        </w:rPr>
        <w:t>。</w:t>
      </w:r>
      <w:bookmarkStart w:id="1" w:name="_GoBack"/>
      <w:bookmarkEnd w:id="1"/>
    </w:p>
    <w:p w14:paraId="6A496E3B">
      <w:pPr>
        <w:keepNext/>
        <w:spacing w:line="560" w:lineRule="exact"/>
        <w:ind w:firstLine="643" w:firstLineChars="200"/>
        <w:jc w:val="left"/>
        <w:rPr>
          <w:rFonts w:ascii="FangSong_GB2312" w:hAnsi="FangSong_GB2312" w:eastAsia="FangSong_GB2312" w:cs="FangSong_GB2312"/>
          <w:b/>
          <w:bCs/>
          <w:sz w:val="32"/>
          <w:szCs w:val="32"/>
        </w:rPr>
      </w:pPr>
      <w:r>
        <w:rPr>
          <w:rFonts w:ascii="FangSong_GB2312" w:hAnsi="FangSong_GB2312" w:eastAsia="FangSong_GB2312" w:cs="FangSong_GB2312"/>
          <w:b/>
          <w:bCs/>
          <w:sz w:val="32"/>
          <w:szCs w:val="32"/>
        </w:rPr>
        <w:t>2 网络整理与割接要求</w:t>
      </w:r>
    </w:p>
    <w:p w14:paraId="357F76C8">
      <w:pPr>
        <w:spacing w:line="560" w:lineRule="exact"/>
        <w:ind w:firstLine="640" w:firstLineChars="200"/>
        <w:jc w:val="left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</w:rPr>
        <w:t>1、实施方应在详细了解现网的基础上编制实施方案，明确拓扑、设备和端口清单、VLAN、路由、聚合、业务影响、旧新端口映射、夜间计划、人员分工、风险控制、回退步骤及验收标准，经我院确认后执行。</w:t>
      </w:r>
    </w:p>
    <w:p w14:paraId="4B16A09C">
      <w:pPr>
        <w:spacing w:line="560" w:lineRule="exact"/>
        <w:ind w:firstLine="640" w:firstLineChars="200"/>
        <w:jc w:val="left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</w:rPr>
        <w:t>2、我院提供实施所需交换机。实施方须核验设备状态、接口、PoE、光模块及软件兼容性，完成可恢复配置备份和离线预配置。关键割接双人复核；仅在验证冗余有效后采用逐台切换，否则按批准停机方案实施，不得擅自并联新旧核心。</w:t>
      </w:r>
    </w:p>
    <w:p w14:paraId="769DEB6F">
      <w:pPr>
        <w:spacing w:line="560" w:lineRule="exact"/>
        <w:ind w:firstLine="640" w:firstLineChars="200"/>
        <w:jc w:val="left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</w:rPr>
        <w:t>3、楼层更换应先行试点，再按区域分批实施。线缆应先拍照、临时编号、确认两端和用途，再逐束解缠整理；未知线路禁止试拔，不得强拉影响相邻业务。标签两端编号一致，台账记录源端口、目的端口和业务用途；不得遮挡散热或造成过度弯折。</w:t>
      </w:r>
    </w:p>
    <w:p w14:paraId="689E6D33">
      <w:pPr>
        <w:spacing w:line="560" w:lineRule="exact"/>
        <w:ind w:firstLine="640" w:firstLineChars="200"/>
        <w:jc w:val="left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</w:rPr>
        <w:t>4、实施方应提供完成本项目所需的全部辅材，确保质量、规格及适配性满足现场使用要求，相关费用包含在总报价内。现有合格材料优先复用，不得因辅材配置不足影响实施质量和业务恢复。</w:t>
      </w:r>
    </w:p>
    <w:p w14:paraId="43C7F29F">
      <w:pPr>
        <w:spacing w:line="560" w:lineRule="exact"/>
        <w:ind w:firstLine="640" w:firstLineChars="200"/>
        <w:jc w:val="left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</w:rPr>
        <w:t>5、除安全运维网关及必要配套外，本次不含交换机、专用堆叠线缆及交换机新增授权采购，不含新建综合布线、机柜及UPS改造。</w:t>
      </w:r>
      <w:r>
        <w:rPr>
          <w:rFonts w:hint="eastAsia" w:ascii="FangSong_GB2312" w:hAnsi="FangSong_GB2312" w:eastAsia="FangSong_GB2312" w:cs="FangSong_GB2312"/>
          <w:sz w:val="32"/>
          <w:szCs w:val="32"/>
        </w:rPr>
        <w:t>完成本次既定范围所需的光模块及配套材料费用包含在总报价内。</w:t>
      </w:r>
      <w:r>
        <w:rPr>
          <w:rFonts w:ascii="FangSong_GB2312" w:hAnsi="FangSong_GB2312" w:eastAsia="FangSong_GB2312" w:cs="FangSong_GB2312"/>
          <w:sz w:val="32"/>
          <w:szCs w:val="32"/>
        </w:rPr>
        <w:t>发现缺项须事先书面报告，不得擅自增加费用或降低标准。</w:t>
      </w:r>
    </w:p>
    <w:p w14:paraId="4893D8FF">
      <w:pPr>
        <w:keepNext/>
        <w:spacing w:line="560" w:lineRule="exact"/>
        <w:ind w:firstLine="643" w:firstLineChars="200"/>
        <w:jc w:val="left"/>
        <w:rPr>
          <w:rFonts w:ascii="FangSong_GB2312" w:hAnsi="FangSong_GB2312" w:eastAsia="FangSong_GB2312" w:cs="FangSong_GB2312"/>
          <w:b/>
          <w:bCs/>
          <w:sz w:val="32"/>
          <w:szCs w:val="32"/>
        </w:rPr>
      </w:pPr>
      <w:r>
        <w:rPr>
          <w:rFonts w:ascii="FangSong_GB2312" w:hAnsi="FangSong_GB2312" w:eastAsia="FangSong_GB2312" w:cs="FangSong_GB2312"/>
          <w:b/>
          <w:bCs/>
          <w:sz w:val="32"/>
          <w:szCs w:val="32"/>
        </w:rPr>
        <w:t>3 安全运维网关要求</w:t>
      </w:r>
    </w:p>
    <w:p w14:paraId="4FE64EE0">
      <w:pPr>
        <w:spacing w:line="560" w:lineRule="exact"/>
        <w:ind w:firstLine="640" w:firstLineChars="200"/>
        <w:jc w:val="left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</w:rPr>
        <w:t>为了保证本次服务的安全可靠，本次网络整理、割接服务须提供1只安全运维网关，用于所有设备入网操作的统一安全接入管理。安全运维网关功能要求如下：</w:t>
      </w:r>
    </w:p>
    <w:p w14:paraId="65D91579">
      <w:pPr>
        <w:spacing w:line="560" w:lineRule="exact"/>
        <w:ind w:firstLine="640" w:firstLineChars="200"/>
        <w:jc w:val="left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</w:rPr>
        <w:t>1、具备不少于10个GE接口。</w:t>
      </w:r>
    </w:p>
    <w:p w14:paraId="4E5F1CDF">
      <w:pPr>
        <w:spacing w:line="560" w:lineRule="exact"/>
        <w:ind w:firstLine="640" w:firstLineChars="200"/>
        <w:jc w:val="left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</w:rPr>
        <w:t>2、支持中文管理界面、WEB管理接口、SNMP v1/v2/v3。</w:t>
      </w:r>
    </w:p>
    <w:p w14:paraId="31385BDA">
      <w:pPr>
        <w:spacing w:line="560" w:lineRule="exact"/>
        <w:ind w:firstLine="640" w:firstLineChars="200"/>
        <w:jc w:val="left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</w:rPr>
        <w:t>3、支持收集展示终端IP、MAC、接入位置、接入时间、离线时间、业务群组等六元组信息。投标时须提供第三方权威机构出具的盖有CNAS或CMA认证章的检测报告复印件证明。</w:t>
      </w:r>
    </w:p>
    <w:p w14:paraId="2A271A84">
      <w:pPr>
        <w:spacing w:line="560" w:lineRule="exact"/>
        <w:ind w:firstLine="640" w:firstLineChars="200"/>
        <w:jc w:val="left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</w:rPr>
        <w:t>4、设备最大功耗不超过10W。</w:t>
      </w:r>
    </w:p>
    <w:p w14:paraId="2D1178DB">
      <w:pPr>
        <w:spacing w:line="560" w:lineRule="exact"/>
        <w:ind w:firstLine="640" w:firstLineChars="200"/>
        <w:jc w:val="left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</w:rPr>
        <w:t>5、支持识别并阻断仿冒终端。投标时须提供第三方权威机构出具的盖有CNAS或CMA认证章的检测报告复印件证明。</w:t>
      </w:r>
    </w:p>
    <w:p w14:paraId="5739F6AC">
      <w:pPr>
        <w:spacing w:line="560" w:lineRule="exact"/>
        <w:ind w:firstLine="640" w:firstLineChars="200"/>
        <w:jc w:val="left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</w:rPr>
        <w:t>6、支持对已绑定终端私自更改接入位置可自动阻断，对未绑定终端可阻断ARP、DHCP等非授信业务，维护边界安全。投标时须提供第三方权威机构出具的盖有CNAS或CMA认证章的检测报告复印件证明。</w:t>
      </w:r>
    </w:p>
    <w:p w14:paraId="289210E5">
      <w:pPr>
        <w:spacing w:line="560" w:lineRule="exact"/>
        <w:ind w:firstLine="640" w:firstLineChars="200"/>
        <w:jc w:val="left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</w:rPr>
        <w:t>7、支持IP扫描防护、ARP扫描防护、UDP端口扫描防护、TCP端口扫描防护。投标时须提供第三方权威机构出具的盖有CNAS或CMA认证章的检测报告复印件证明。</w:t>
      </w:r>
    </w:p>
    <w:p w14:paraId="6F4E91A1">
      <w:pPr>
        <w:spacing w:line="560" w:lineRule="exact"/>
        <w:ind w:firstLine="640" w:firstLineChars="200"/>
        <w:jc w:val="left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</w:rPr>
        <w:t>8、支持配合管理平台实现终端一键黑名单，任意端口阻断。投标时须提供第三方权威机构出具的盖有CNAS或CMA认证章的检测报告复印件证明。</w:t>
      </w:r>
    </w:p>
    <w:p w14:paraId="0E055B18">
      <w:pPr>
        <w:spacing w:line="560" w:lineRule="exact"/>
        <w:ind w:firstLine="640" w:firstLineChars="200"/>
        <w:jc w:val="left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</w:rPr>
        <w:t>9、为了保证项目招标活动顺畅进行，投标时须提供厂商和投标人共同盖章的功能真实性承诺函。</w:t>
      </w:r>
    </w:p>
    <w:p w14:paraId="08886E28">
      <w:pPr>
        <w:spacing w:line="560" w:lineRule="exact"/>
        <w:ind w:firstLine="640" w:firstLineChars="200"/>
        <w:jc w:val="left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</w:rPr>
        <w:t>实施方须列明品牌、型号、平台及授权配置，逐项说明响应情况。第3、5、6、7、8项须列检测报告编号、受检型号及对应页码；共同盖章承诺函不能替代检测报告。第1、2、4项提供可核验产品资料，最大功耗不得以典型或待机功耗代替。</w:t>
      </w:r>
    </w:p>
    <w:p w14:paraId="53D51885">
      <w:pPr>
        <w:spacing w:line="560" w:lineRule="exact"/>
        <w:ind w:firstLine="640" w:firstLineChars="200"/>
        <w:jc w:val="left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</w:rPr>
        <w:t>网关部署方案须说明全部实施设备的管理路径、终端识别与绑定方式及策略覆盖，不得擅自打通内外网边界。先核对资产和白名单，再于批准范围试点启用阻断，说明误阻断解除及故障恢复办法。网关服务结束后归属院方。签订合同前，采购人按本文件明确的技术要求组织网关功能核验，并形成书面记录。经核实，因供应商提供的产品或证明材料不符合采购要求，导致不具备签约条件的，采购人有权依法依规终止签约，并书面告知供应商。</w:t>
      </w:r>
    </w:p>
    <w:p w14:paraId="6646F1C4">
      <w:pPr>
        <w:keepNext/>
        <w:spacing w:line="560" w:lineRule="exact"/>
        <w:ind w:firstLine="643" w:firstLineChars="200"/>
        <w:jc w:val="left"/>
        <w:rPr>
          <w:rFonts w:ascii="FangSong_GB2312" w:hAnsi="FangSong_GB2312" w:eastAsia="FangSong_GB2312" w:cs="FangSong_GB2312"/>
          <w:b/>
          <w:bCs/>
          <w:sz w:val="32"/>
          <w:szCs w:val="32"/>
        </w:rPr>
      </w:pPr>
      <w:r>
        <w:rPr>
          <w:rFonts w:ascii="FangSong_GB2312" w:hAnsi="FangSong_GB2312" w:eastAsia="FangSong_GB2312" w:cs="FangSong_GB2312"/>
          <w:b/>
          <w:bCs/>
          <w:sz w:val="32"/>
          <w:szCs w:val="32"/>
        </w:rPr>
        <w:t>4 实施要求</w:t>
      </w:r>
    </w:p>
    <w:p w14:paraId="040AD956">
      <w:pPr>
        <w:spacing w:line="560" w:lineRule="exact"/>
        <w:ind w:firstLine="640" w:firstLineChars="200"/>
        <w:jc w:val="left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</w:rPr>
        <w:t>1、实施方应服从我院统一协调，自具备开工条件并收到院方书面开工通知之日起，计划在1至2个月内完成。具体夜间施工批次及窗口由双方确认；因院方业务安排导致窗口取消或调整的，相应顺延工期，既定范围费用不因此自动增加。现场勘查、追线、拆装、理线、测试及割接均在夜间开展，白天仅开展离线配置、资料编制和协调。</w:t>
      </w:r>
    </w:p>
    <w:p w14:paraId="506BE650">
      <w:pPr>
        <w:spacing w:line="560" w:lineRule="exact"/>
        <w:ind w:firstLine="640" w:firstLineChars="200"/>
        <w:jc w:val="left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</w:rPr>
        <w:t>2、实施方应明确项目负责人及技术、施工人员的职责，结合现场线路状况、夜间施工条件和业务恢复要求配置足够人员。关键割接应由具备相应经验的工程师执行，并落实双人复核。</w:t>
      </w:r>
    </w:p>
    <w:p w14:paraId="6AE60CD8">
      <w:pPr>
        <w:spacing w:line="560" w:lineRule="exact"/>
        <w:ind w:firstLine="640" w:firstLineChars="200"/>
        <w:jc w:val="left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</w:rPr>
        <w:t>3、实施方应合理安排人员和施工批次，确保工作衔接及现场安全。总报价须覆盖必要准备、实施、测试、收尾、工具、交通、管理及夜间组织等费用，不再另行收取夜班费或重复计费。</w:t>
      </w:r>
    </w:p>
    <w:p w14:paraId="008176ED">
      <w:pPr>
        <w:spacing w:line="560" w:lineRule="exact"/>
        <w:ind w:firstLine="640" w:firstLineChars="200"/>
        <w:jc w:val="left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</w:rPr>
        <w:t>4、各批次须明确影响范围、业务联系人、必测项目、最晚回退点及应急授权，合理预留检查和业务恢复时间。每夜结束前完成业务验证、清点、拍照及交接，恢复至满足次日业务使用的状态。</w:t>
      </w:r>
    </w:p>
    <w:p w14:paraId="5B05F7A5">
      <w:pPr>
        <w:spacing w:line="560" w:lineRule="exact"/>
        <w:ind w:firstLine="640" w:firstLineChars="200"/>
        <w:jc w:val="left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</w:rPr>
        <w:t>5、回退时间以演练测定，须预留充足操作时间及余量，剩余时间不足不得启动新批次。发生环路、隔离失效或关键业务异常应立即停止并评估回退，到达最晚回退点必须执行。旧设备及原接线保持可恢复。</w:t>
      </w:r>
    </w:p>
    <w:p w14:paraId="278C23C1">
      <w:pPr>
        <w:spacing w:line="560" w:lineRule="exact"/>
        <w:ind w:firstLine="640" w:firstLineChars="200"/>
        <w:jc w:val="left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</w:rPr>
        <w:t>6、实施方使用的工具及接入方式须经我院确认；账号按授权和最小权限使用，配置和日志受控移交，不得擅自外传资料。测试阻断和扫描防护使用指定测试终端，避免影响生产业务，结束后回收临时权限。</w:t>
      </w:r>
    </w:p>
    <w:p w14:paraId="2C2C371F">
      <w:pPr>
        <w:keepNext/>
        <w:spacing w:line="560" w:lineRule="exact"/>
        <w:ind w:firstLine="643" w:firstLineChars="200"/>
        <w:jc w:val="left"/>
        <w:rPr>
          <w:rFonts w:ascii="FangSong_GB2312" w:hAnsi="FangSong_GB2312" w:eastAsia="FangSong_GB2312" w:cs="FangSong_GB2312"/>
          <w:b/>
          <w:bCs/>
          <w:sz w:val="32"/>
          <w:szCs w:val="32"/>
        </w:rPr>
      </w:pPr>
      <w:r>
        <w:rPr>
          <w:rFonts w:ascii="FangSong_GB2312" w:hAnsi="FangSong_GB2312" w:eastAsia="FangSong_GB2312" w:cs="FangSong_GB2312"/>
          <w:b/>
          <w:bCs/>
          <w:sz w:val="32"/>
          <w:szCs w:val="32"/>
        </w:rPr>
        <w:t>5 验收与保障要求</w:t>
      </w:r>
    </w:p>
    <w:p w14:paraId="664EC530">
      <w:pPr>
        <w:spacing w:line="560" w:lineRule="exact"/>
        <w:ind w:firstLine="640" w:firstLineChars="200"/>
        <w:jc w:val="left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</w:rPr>
        <w:t>1、本次实施设备逐台核验，迁移链路逐条检查状态和速率，修复线路完成必要测试。按我院确认清单验证业务、VLAN及内外网隔离；实际采用的冗余设计须完成切换验证。</w:t>
      </w:r>
    </w:p>
    <w:p w14:paraId="1C1C8B31">
      <w:pPr>
        <w:spacing w:line="560" w:lineRule="exact"/>
        <w:ind w:firstLine="640" w:firstLineChars="200"/>
        <w:jc w:val="left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</w:rPr>
        <w:t>2、安全运维网关核对实配型号、接口、管理功能和功耗证明，并在批准测试环境验证六元组展示、仿冒阻断、接入位置变更阻断、非授信业务阻断、四类扫描防护及平台一键黑名单与任意端口阻断。检测证明与实配产品应相符。</w:t>
      </w:r>
    </w:p>
    <w:p w14:paraId="6C997208">
      <w:pPr>
        <w:spacing w:line="560" w:lineRule="exact"/>
        <w:ind w:firstLine="640" w:firstLineChars="200"/>
        <w:jc w:val="left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</w:rPr>
        <w:t>3、交付竣工拓扑、设备和端口台账、配置备份、割接及回退记录、逐夜交接、业务测试、疑难线处理、前后照片及培训记录；网关另交部署图、策略、平台与授权清单、账号移交及故障恢复说明。</w:t>
      </w:r>
    </w:p>
    <w:p w14:paraId="666481BB">
      <w:pPr>
        <w:spacing w:line="560" w:lineRule="exact"/>
        <w:ind w:firstLine="640" w:firstLineChars="200"/>
        <w:jc w:val="left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</w:rPr>
        <w:t>4、主割接后应安排必要的现场保障及运行观察，确保无本次实施引起的异常。</w:t>
      </w:r>
      <w:r>
        <w:rPr>
          <w:rFonts w:hint="eastAsia" w:ascii="FangSong_GB2312" w:hAnsi="FangSong_GB2312" w:eastAsia="FangSong_GB2312" w:cs="FangSong_GB2312"/>
          <w:sz w:val="32"/>
          <w:szCs w:val="32"/>
          <w:lang w:val="en-US" w:eastAsia="zh-CN"/>
        </w:rPr>
        <w:t>完成割接后需</w:t>
      </w:r>
      <w:r>
        <w:rPr>
          <w:rFonts w:ascii="FangSong_GB2312" w:hAnsi="FangSong_GB2312" w:eastAsia="FangSong_GB2312" w:cs="FangSong_GB2312"/>
          <w:sz w:val="32"/>
          <w:szCs w:val="32"/>
        </w:rPr>
        <w:t>提供1名具备网络</w:t>
      </w:r>
      <w:r>
        <w:rPr>
          <w:rFonts w:hint="eastAsia" w:ascii="FangSong_GB2312" w:hAnsi="FangSong_GB2312" w:eastAsia="FangSong_GB2312" w:cs="FangSong_GB2312"/>
          <w:sz w:val="32"/>
          <w:szCs w:val="32"/>
        </w:rPr>
        <w:t>工程师</w:t>
      </w:r>
      <w:r>
        <w:rPr>
          <w:rFonts w:ascii="FangSong_GB2312" w:hAnsi="FangSong_GB2312" w:eastAsia="FangSong_GB2312" w:cs="FangSong_GB2312"/>
          <w:sz w:val="32"/>
          <w:szCs w:val="32"/>
        </w:rPr>
        <w:t>认证的工程师开展30日驻场运维，并提供实施问题整改保障；因自身施工或配置问题产生的整改应免费完成。关键业务或技术要求未通过不得最终验收。</w:t>
      </w: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_GB2312"/>
    <w:panose1 w:val="020B0604020202020204"/>
    <w:charset w:val="86"/>
    <w:family w:val="modern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FangSong_GB2312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8"/>
      </w:rPr>
      <w:id w:val="-1249801617"/>
      <w:docPartObj>
        <w:docPartGallery w:val="autotext"/>
      </w:docPartObj>
    </w:sdtPr>
    <w:sdtEndPr>
      <w:rPr>
        <w:rStyle w:val="8"/>
      </w:rPr>
    </w:sdtEndPr>
    <w:sdtContent>
      <w:p w14:paraId="76B104D0">
        <w:pPr>
          <w:pStyle w:val="5"/>
          <w:framePr w:wrap="auto" w:vAnchor="text" w:hAnchor="margin" w:xAlign="center" w:y="1"/>
          <w:rPr>
            <w:rStyle w:val="8"/>
          </w:rPr>
        </w:pPr>
        <w:r>
          <w:rPr>
            <w:rStyle w:val="8"/>
          </w:rPr>
          <w:fldChar w:fldCharType="begin"/>
        </w:r>
        <w:r>
          <w:rPr>
            <w:rStyle w:val="8"/>
          </w:rPr>
          <w:instrText xml:space="preserve"> PAGE </w:instrText>
        </w:r>
        <w:r>
          <w:rPr>
            <w:rStyle w:val="8"/>
          </w:rPr>
          <w:fldChar w:fldCharType="separate"/>
        </w:r>
        <w:r>
          <w:rPr>
            <w:rStyle w:val="8"/>
          </w:rPr>
          <w:t>1</w:t>
        </w:r>
        <w:r>
          <w:rPr>
            <w:rStyle w:val="8"/>
          </w:rPr>
          <w:fldChar w:fldCharType="end"/>
        </w:r>
      </w:p>
    </w:sdtContent>
  </w:sdt>
  <w:p w14:paraId="438F976D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8"/>
      </w:rPr>
      <w:id w:val="280684747"/>
      <w:docPartObj>
        <w:docPartGallery w:val="autotext"/>
      </w:docPartObj>
    </w:sdtPr>
    <w:sdtEndPr>
      <w:rPr>
        <w:rStyle w:val="8"/>
      </w:rPr>
    </w:sdtEndPr>
    <w:sdtContent>
      <w:p w14:paraId="1BE71FCC">
        <w:pPr>
          <w:pStyle w:val="5"/>
          <w:framePr w:wrap="auto" w:vAnchor="text" w:hAnchor="margin" w:xAlign="center" w:y="1"/>
          <w:rPr>
            <w:rStyle w:val="8"/>
          </w:rPr>
        </w:pPr>
        <w:r>
          <w:rPr>
            <w:rStyle w:val="8"/>
          </w:rPr>
          <w:fldChar w:fldCharType="begin"/>
        </w:r>
        <w:r>
          <w:rPr>
            <w:rStyle w:val="8"/>
          </w:rPr>
          <w:instrText xml:space="preserve"> PAGE </w:instrText>
        </w:r>
        <w:r>
          <w:rPr>
            <w:rStyle w:val="8"/>
          </w:rPr>
          <w:fldChar w:fldCharType="end"/>
        </w:r>
      </w:p>
    </w:sdtContent>
  </w:sdt>
  <w:p w14:paraId="4577B1A7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U4ZWIxNDc3MWEwZjM5MmVhMGFkMDUyY2E1N2U4ZDUifQ=="/>
  </w:docVars>
  <w:rsids>
    <w:rsidRoot w:val="04AD14C6"/>
    <w:rsid w:val="00210235"/>
    <w:rsid w:val="006D41DE"/>
    <w:rsid w:val="007419D2"/>
    <w:rsid w:val="0077515B"/>
    <w:rsid w:val="00840B79"/>
    <w:rsid w:val="00B31B93"/>
    <w:rsid w:val="00B95ACF"/>
    <w:rsid w:val="00C17643"/>
    <w:rsid w:val="00C75D82"/>
    <w:rsid w:val="00D24A5B"/>
    <w:rsid w:val="00E8020B"/>
    <w:rsid w:val="00F27AA3"/>
    <w:rsid w:val="00F85F23"/>
    <w:rsid w:val="04AD14C6"/>
    <w:rsid w:val="3FFE353C"/>
    <w:rsid w:val="493E5E99"/>
    <w:rsid w:val="747BF5AA"/>
    <w:rsid w:val="75282928"/>
    <w:rsid w:val="AFDF9B06"/>
    <w:rsid w:val="EFFE9ECA"/>
    <w:rsid w:val="F7EF07A5"/>
    <w:rsid w:val="FDDFC3CD"/>
    <w:rsid w:val="FFD70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qFormat/>
    <w:uiPriority w:val="0"/>
    <w:pPr>
      <w:ind w:firstLine="420" w:firstLineChars="100"/>
    </w:pPr>
    <w:rPr>
      <w:rFonts w:cs="黑体"/>
      <w:kern w:val="2"/>
      <w:sz w:val="21"/>
    </w:rPr>
  </w:style>
  <w:style w:type="paragraph" w:styleId="3">
    <w:name w:val="Body Text"/>
    <w:basedOn w:val="1"/>
    <w:next w:val="4"/>
    <w:qFormat/>
    <w:uiPriority w:val="99"/>
    <w:pPr>
      <w:spacing w:after="120"/>
    </w:pPr>
    <w:rPr>
      <w:kern w:val="0"/>
      <w:sz w:val="24"/>
    </w:rPr>
  </w:style>
  <w:style w:type="paragraph" w:customStyle="1" w:styleId="4">
    <w:name w:val="_Style 2"/>
    <w:basedOn w:val="1"/>
    <w:autoRedefine/>
    <w:qFormat/>
    <w:uiPriority w:val="0"/>
    <w:pPr>
      <w:ind w:firstLine="200" w:firstLineChars="200"/>
    </w:pPr>
    <w:rPr>
      <w:rFonts w:ascii="Calibri" w:hAnsi="Calibri"/>
      <w:sz w:val="28"/>
    </w:rPr>
  </w:style>
  <w:style w:type="paragraph" w:styleId="5">
    <w:name w:val="footer"/>
    <w:basedOn w:val="1"/>
    <w:link w:val="9"/>
    <w:qFormat/>
    <w:uiPriority w:val="0"/>
    <w:pPr>
      <w:tabs>
        <w:tab w:val="center" w:pos="4680"/>
        <w:tab w:val="right" w:pos="9360"/>
      </w:tabs>
    </w:pPr>
  </w:style>
  <w:style w:type="character" w:styleId="8">
    <w:name w:val="page number"/>
    <w:basedOn w:val="7"/>
    <w:qFormat/>
    <w:uiPriority w:val="0"/>
  </w:style>
  <w:style w:type="character" w:customStyle="1" w:styleId="9">
    <w:name w:val="Footer Char"/>
    <w:basedOn w:val="7"/>
    <w:link w:val="5"/>
    <w:qFormat/>
    <w:uiPriority w:val="0"/>
    <w:rPr>
      <w:rFonts w:ascii="Times New Roman" w:hAnsi="Times New Roman" w:eastAsia="宋体" w:cs="Times New Roman"/>
      <w:kern w:val="2"/>
      <w:sz w:val="21"/>
      <w:szCs w:val="24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2567</Words>
  <Characters>2634</Characters>
  <Lines>19</Lines>
  <Paragraphs>5</Paragraphs>
  <TotalTime>0</TotalTime>
  <ScaleCrop>false</ScaleCrop>
  <LinksUpToDate>false</LinksUpToDate>
  <CharactersWithSpaces>2640</CharactersWithSpaces>
  <Application>WPS Office_12.1.0.17145_F1E327BC-269C-435d-A152-05C5408002CA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2025-09-25T19:15:00Z</dcterms:created>
  <dc:creator>万鹏威</dc:creator>
  <cp:lastModifiedBy>万鹏威</cp:lastModifiedBy>
  <dcterms:modified xsi:type="dcterms:W3CDTF">2026-10-18T11:18:23Z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2052-12.1.0.17145</vt:lpwstr>
  </property>
  <property fmtid="{D5CDD505-2E9C-101B-9397-08002B2CF9AE}" pid="3" name="ICV">
    <vt:lpwstr>381B2F861AF60D1C332ECF6A903DC6D1_43</vt:lpwstr>
  </property>
</Properties>
</file>