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A2DC3">
      <w:pPr>
        <w:pStyle w:val="16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课题实验服务招标评分标准表</w:t>
      </w:r>
    </w:p>
    <w:p w14:paraId="6E3FA413">
      <w:pPr>
        <w:pStyle w:val="16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tbl>
      <w:tblPr>
        <w:tblStyle w:val="10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58"/>
        <w:gridCol w:w="1950"/>
        <w:gridCol w:w="1484"/>
        <w:gridCol w:w="3107"/>
        <w:gridCol w:w="1366"/>
      </w:tblGrid>
      <w:tr w14:paraId="56087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3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ACB539">
            <w:pPr>
              <w:pStyle w:val="16"/>
            </w:pPr>
            <w:r>
              <w:t>评分模块</w:t>
            </w:r>
          </w:p>
        </w:tc>
        <w:tc>
          <w:tcPr>
            <w:tcW w:w="105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EF60FCE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评分细项</w:t>
            </w:r>
          </w:p>
        </w:tc>
        <w:tc>
          <w:tcPr>
            <w:tcW w:w="800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8C4E713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分值</w:t>
            </w:r>
          </w:p>
        </w:tc>
        <w:tc>
          <w:tcPr>
            <w:tcW w:w="167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1FB8042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具体评分标准</w:t>
            </w:r>
          </w:p>
        </w:tc>
        <w:tc>
          <w:tcPr>
            <w:tcW w:w="73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D7AC84">
            <w:pPr>
              <w:pStyle w:val="16"/>
              <w:rPr>
                <w:rFonts w:hint="eastAsia" w:eastAsia="等线"/>
                <w:lang w:eastAsia="zh-CN"/>
              </w:rPr>
            </w:pPr>
            <w:r>
              <w:rPr>
                <w:rFonts w:hint="eastAsia"/>
                <w:lang w:eastAsia="zh-CN"/>
              </w:rPr>
              <w:t>打分</w:t>
            </w:r>
          </w:p>
        </w:tc>
      </w:tr>
      <w:tr w14:paraId="00663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3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B3299D">
            <w:pPr>
              <w:pStyle w:val="16"/>
            </w:pPr>
            <w:r>
              <w:rPr>
                <w:b/>
                <w:bCs/>
              </w:rPr>
              <w:t>技术部分</w:t>
            </w:r>
            <w:r>
              <w:t>60分</w:t>
            </w:r>
          </w:p>
        </w:tc>
        <w:tc>
          <w:tcPr>
            <w:tcW w:w="105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58DABAA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实验方案与技术路径</w:t>
            </w:r>
          </w:p>
        </w:tc>
        <w:tc>
          <w:tcPr>
            <w:tcW w:w="800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CDD77FF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25分</w:t>
            </w:r>
          </w:p>
        </w:tc>
        <w:tc>
          <w:tcPr>
            <w:tcW w:w="167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8BE8666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1. 方案完整性（10分）：覆盖课题全流程、步骤清晰、质控完善得8-10分；环节有遗漏得5-7分；核心缺失、逻辑混乱得2. 技术可行性（10分）：方法科学、贴合课题、可落地得8-10分；有风险但有预案得5-7分；方案不可行得03. 针对性与合理性（5分）：贴合课题需求、设计合理得3-5分；常规通用、无针对性得1-2分；方案偏离课题得0分</w:t>
            </w:r>
          </w:p>
        </w:tc>
        <w:tc>
          <w:tcPr>
            <w:tcW w:w="73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BB9937">
            <w:pPr>
              <w:pStyle w:val="16"/>
            </w:pPr>
          </w:p>
        </w:tc>
      </w:tr>
      <w:tr w14:paraId="67950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3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D81FEB">
            <w:pPr>
              <w:pStyle w:val="16"/>
            </w:pPr>
          </w:p>
        </w:tc>
        <w:tc>
          <w:tcPr>
            <w:tcW w:w="105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D631665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团队资质与专业能力</w:t>
            </w:r>
          </w:p>
        </w:tc>
        <w:tc>
          <w:tcPr>
            <w:tcW w:w="800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443E3B8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15分</w:t>
            </w:r>
          </w:p>
        </w:tc>
        <w:tc>
          <w:tcPr>
            <w:tcW w:w="167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2DEE93C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1. 负责人资质（8分）：高级职称/博士+同类项目经验得6-8分；中级职称/硕士+一般经验得3-5分；资质不足、无经验得2. 团队配置（7分）：专业匹配、分工明确、人员充足得5-7分；分工不合理得2-4分；团队不达标得0-1分</w:t>
            </w:r>
          </w:p>
        </w:tc>
        <w:tc>
          <w:tcPr>
            <w:tcW w:w="73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8907B8">
            <w:pPr>
              <w:pStyle w:val="16"/>
            </w:pPr>
          </w:p>
        </w:tc>
      </w:tr>
      <w:tr w14:paraId="3FDF0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3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EF8033">
            <w:pPr>
              <w:pStyle w:val="16"/>
            </w:pPr>
          </w:p>
        </w:tc>
        <w:tc>
          <w:tcPr>
            <w:tcW w:w="105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97BCA89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实验资源与设备保障</w:t>
            </w:r>
          </w:p>
        </w:tc>
        <w:tc>
          <w:tcPr>
            <w:tcW w:w="800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83423C0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10分</w:t>
            </w:r>
          </w:p>
        </w:tc>
        <w:tc>
          <w:tcPr>
            <w:tcW w:w="167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D61FD94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1. 核心设备（6分）：自有齐全、设备合规先进得4-6分；需外借得1-3分；无核心设备得2. 试剂耗材与场地（4分）：供应稳定、符合标准得3-4分；供应不确定得1-2分；无保障得0分</w:t>
            </w:r>
          </w:p>
        </w:tc>
        <w:tc>
          <w:tcPr>
            <w:tcW w:w="73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833AFA">
            <w:pPr>
              <w:pStyle w:val="16"/>
            </w:pPr>
          </w:p>
        </w:tc>
      </w:tr>
      <w:tr w14:paraId="64BD4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3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622ED3">
            <w:pPr>
              <w:pStyle w:val="16"/>
            </w:pPr>
          </w:p>
        </w:tc>
        <w:tc>
          <w:tcPr>
            <w:tcW w:w="105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5571D05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进度计划与风险防控</w:t>
            </w:r>
          </w:p>
        </w:tc>
        <w:tc>
          <w:tcPr>
            <w:tcW w:w="800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59DAA05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10分</w:t>
            </w:r>
          </w:p>
        </w:tc>
        <w:tc>
          <w:tcPr>
            <w:tcW w:w="167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1924D3F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1. 进度安排（5分）：贴合课题节点、合理可行得4-5分；有延误风险得2-3分；进度严重不合理得2. 风险预案（5分）：预案全面、应对措施明确得4-5分；预案不完善得2-3分；无预案得0-1分</w:t>
            </w:r>
          </w:p>
        </w:tc>
        <w:tc>
          <w:tcPr>
            <w:tcW w:w="73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8D288E">
            <w:pPr>
              <w:pStyle w:val="16"/>
            </w:pPr>
          </w:p>
        </w:tc>
      </w:tr>
      <w:tr w14:paraId="5DA36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3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297E75">
            <w:pPr>
              <w:pStyle w:val="16"/>
            </w:pPr>
            <w:r>
              <w:rPr>
                <w:b/>
                <w:bCs/>
              </w:rPr>
              <w:t>商务部分</w:t>
            </w:r>
            <w:r>
              <w:t>25分</w:t>
            </w:r>
          </w:p>
        </w:tc>
        <w:tc>
          <w:tcPr>
            <w:tcW w:w="105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C5B591F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企业资质与业绩</w:t>
            </w:r>
          </w:p>
        </w:tc>
        <w:tc>
          <w:tcPr>
            <w:tcW w:w="800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3570C4F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10分</w:t>
            </w:r>
          </w:p>
        </w:tc>
        <w:tc>
          <w:tcPr>
            <w:tcW w:w="167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2885ECC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1. 合规资质（6分）：具备独立法人、相关实验/实验室资质得4-6分；资质不全得1-3分；无核心资质得0分2. 同类业绩（4分）：近3年同类课题实验业绩充足、无不良记录得3-4分；业绩较少得1-2分；无业绩/不良记录得0分</w:t>
            </w:r>
          </w:p>
        </w:tc>
        <w:tc>
          <w:tcPr>
            <w:tcW w:w="73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A8FE21">
            <w:pPr>
              <w:pStyle w:val="16"/>
            </w:pPr>
          </w:p>
        </w:tc>
      </w:tr>
      <w:tr w14:paraId="203DA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3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89E8F0">
            <w:pPr>
              <w:pStyle w:val="16"/>
            </w:pPr>
          </w:p>
        </w:tc>
        <w:tc>
          <w:tcPr>
            <w:tcW w:w="105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E0A81B7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服务与保障能力</w:t>
            </w:r>
          </w:p>
        </w:tc>
        <w:tc>
          <w:tcPr>
            <w:tcW w:w="800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A6AD05B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10分</w:t>
            </w:r>
          </w:p>
        </w:tc>
        <w:tc>
          <w:tcPr>
            <w:tcW w:w="167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126AA18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1. 响应服务（5分）：24小时问题响应、全程跟进得3-5分；48小时响应得1-2分；无响应2. 数据与售后（5分）：数据保密、完整交付、售后支持得3-5分；仅有基础服务得1-2分；无售后保障得0分</w:t>
            </w:r>
          </w:p>
        </w:tc>
        <w:tc>
          <w:tcPr>
            <w:tcW w:w="73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EE4C80">
            <w:pPr>
              <w:pStyle w:val="16"/>
            </w:pPr>
          </w:p>
        </w:tc>
      </w:tr>
      <w:tr w14:paraId="6972D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3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E27D0A">
            <w:pPr>
              <w:pStyle w:val="16"/>
            </w:pPr>
          </w:p>
        </w:tc>
        <w:tc>
          <w:tcPr>
            <w:tcW w:w="105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B2B91C0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项目与合规管理</w:t>
            </w:r>
          </w:p>
        </w:tc>
        <w:tc>
          <w:tcPr>
            <w:tcW w:w="800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7590055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5分</w:t>
            </w:r>
          </w:p>
        </w:tc>
        <w:tc>
          <w:tcPr>
            <w:tcW w:w="167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1F6CE26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项目管理规范、符合伦理及科研合规要求、交付标准清晰得3-5分；管理一般得1-2分；管理混乱得0分</w:t>
            </w:r>
          </w:p>
        </w:tc>
        <w:tc>
          <w:tcPr>
            <w:tcW w:w="73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9CDC3D">
            <w:pPr>
              <w:pStyle w:val="16"/>
            </w:pPr>
          </w:p>
        </w:tc>
      </w:tr>
      <w:tr w14:paraId="50726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3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9B4A51">
            <w:pPr>
              <w:pStyle w:val="16"/>
            </w:pPr>
            <w:r>
              <w:rPr>
                <w:b/>
                <w:bCs/>
              </w:rPr>
              <w:t>价格部分</w:t>
            </w:r>
            <w:r>
              <w:t>15分</w:t>
            </w:r>
          </w:p>
        </w:tc>
        <w:tc>
          <w:tcPr>
            <w:tcW w:w="105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EDC7DEE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报价合理性</w:t>
            </w:r>
          </w:p>
        </w:tc>
        <w:tc>
          <w:tcPr>
            <w:tcW w:w="800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869F5DA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8分</w:t>
            </w:r>
          </w:p>
        </w:tc>
        <w:tc>
          <w:tcPr>
            <w:tcW w:w="167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9E48C60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以有效投标报价平均值为基准价，等于基准价得8分；每低于1%扣0.2分；每高于1%扣0.3分，扣完为止</w:t>
            </w:r>
          </w:p>
        </w:tc>
        <w:tc>
          <w:tcPr>
            <w:tcW w:w="73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FA0C1E">
            <w:pPr>
              <w:pStyle w:val="16"/>
            </w:pPr>
          </w:p>
        </w:tc>
      </w:tr>
      <w:tr w14:paraId="74309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3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3CEC0D">
            <w:pPr>
              <w:pStyle w:val="16"/>
            </w:pPr>
          </w:p>
        </w:tc>
        <w:tc>
          <w:tcPr>
            <w:tcW w:w="105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1501DE4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费用明细与性价比</w:t>
            </w:r>
          </w:p>
        </w:tc>
        <w:tc>
          <w:tcPr>
            <w:tcW w:w="800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DAA31E5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7分</w:t>
            </w:r>
          </w:p>
        </w:tc>
        <w:tc>
          <w:tcPr>
            <w:tcW w:w="167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1059C15">
            <w:pPr>
              <w:pStyle w:val="16"/>
              <w:ind w:left="0" w:leftChars="0"/>
              <w:rPr>
                <w:rFonts w:ascii="Arial" w:hAnsi="Arial" w:eastAsia="等线" w:cs="Arial"/>
                <w:sz w:val="22"/>
                <w:szCs w:val="22"/>
              </w:rPr>
            </w:pPr>
            <w:r>
              <w:t>费用明细清晰、无隐形收费、性价比高得5-7分；明细不全得2-4分；隐形收费、性价比低得0-1分</w:t>
            </w:r>
          </w:p>
        </w:tc>
        <w:tc>
          <w:tcPr>
            <w:tcW w:w="73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1A9C63">
            <w:pPr>
              <w:pStyle w:val="16"/>
            </w:pPr>
          </w:p>
        </w:tc>
      </w:tr>
      <w:tr w14:paraId="2C086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3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56F64E">
            <w:pPr>
              <w:pStyle w:val="16"/>
            </w:pPr>
          </w:p>
        </w:tc>
        <w:tc>
          <w:tcPr>
            <w:tcW w:w="1052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98FB438">
            <w:pPr>
              <w:pStyle w:val="16"/>
              <w:ind w:left="0" w:leftChars="0"/>
              <w:rPr>
                <w:rFonts w:hint="eastAsia" w:eastAsia="等线"/>
                <w:lang w:eastAsia="zh-CN"/>
              </w:rPr>
            </w:pPr>
            <w:r>
              <w:rPr>
                <w:rFonts w:hint="eastAsia"/>
                <w:lang w:eastAsia="zh-CN"/>
              </w:rPr>
              <w:t>总分</w:t>
            </w:r>
          </w:p>
        </w:tc>
        <w:tc>
          <w:tcPr>
            <w:tcW w:w="800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899262C">
            <w:pPr>
              <w:pStyle w:val="16"/>
              <w:ind w:left="0" w:leftChars="0"/>
              <w:rPr>
                <w:rFonts w:hint="default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100分</w:t>
            </w:r>
          </w:p>
        </w:tc>
        <w:tc>
          <w:tcPr>
            <w:tcW w:w="1676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B5BBB2C">
            <w:pPr>
              <w:pStyle w:val="16"/>
              <w:ind w:left="0" w:leftChars="0"/>
              <w:rPr>
                <w:rFonts w:hint="eastAsia" w:eastAsia="等线"/>
                <w:lang w:eastAsia="zh-CN"/>
              </w:rPr>
            </w:pPr>
            <w:r>
              <w:rPr>
                <w:rFonts w:hint="eastAsia"/>
                <w:lang w:eastAsia="zh-CN"/>
              </w:rPr>
              <w:t>专家打分总分</w:t>
            </w:r>
          </w:p>
        </w:tc>
        <w:tc>
          <w:tcPr>
            <w:tcW w:w="737" w:type="pct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66713B">
            <w:pPr>
              <w:pStyle w:val="16"/>
            </w:pPr>
          </w:p>
        </w:tc>
      </w:tr>
    </w:tbl>
    <w:p w14:paraId="2CA40F05">
      <w:pPr>
        <w:pStyle w:val="16"/>
      </w:pPr>
      <w:r>
        <w:t>否决项</w:t>
      </w:r>
    </w:p>
    <w:p w14:paraId="7DF9B9BB">
      <w:pPr>
        <w:pStyle w:val="16"/>
      </w:pPr>
      <w:r>
        <w:t>1. 投标文件未响应课题核心实验需求，技术</w:t>
      </w:r>
    </w:p>
    <w:p w14:paraId="21A6931F">
      <w:pPr>
        <w:pStyle w:val="16"/>
        <w:numPr>
          <w:ilvl w:val="0"/>
          <w:numId w:val="1"/>
        </w:numPr>
      </w:pPr>
      <w:r>
        <w:t>投标单位存在违法违规、学术不端</w:t>
      </w:r>
    </w:p>
    <w:p w14:paraId="2CBFCFB8">
      <w:pPr>
        <w:pStyle w:val="16"/>
        <w:numPr>
          <w:ilvl w:val="0"/>
          <w:numId w:val="1"/>
        </w:numPr>
      </w:pPr>
      <w:r>
        <w:t>报价存在恶意低价或严重超出合理范围|直接作废标处理</w:t>
      </w:r>
    </w:p>
    <w:p w14:paraId="04C3B6D5">
      <w:pPr>
        <w:pStyle w:val="16"/>
      </w:pPr>
    </w:p>
    <w:p w14:paraId="019D1EAE">
      <w:pPr>
        <w:pStyle w:val="16"/>
      </w:pPr>
    </w:p>
    <w:p w14:paraId="2AEAC48F">
      <w:pPr>
        <w:pStyle w:val="16"/>
      </w:pPr>
    </w:p>
    <w:p w14:paraId="47E346FC">
      <w:pPr>
        <w:pStyle w:val="16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</w:t>
      </w:r>
      <w:bookmarkStart w:id="0" w:name="_GoBack"/>
      <w:bookmarkEnd w:id="0"/>
      <w:r>
        <w:rPr>
          <w:rFonts w:hint="eastAsia"/>
          <w:lang w:val="en-US" w:eastAsia="zh-CN"/>
        </w:rPr>
        <w:t xml:space="preserve"> 专家签字：</w:t>
      </w:r>
    </w:p>
    <w:p w14:paraId="0D98391C">
      <w:pPr>
        <w:pStyle w:val="16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日     期：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CEA51E"/>
    <w:multiLevelType w:val="singleLevel"/>
    <w:tmpl w:val="2DCEA51E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530003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sz w:val="21"/>
      <w:szCs w:val="22"/>
    </w:rPr>
  </w:style>
  <w:style w:type="character" w:customStyle="1" w:styleId="15">
    <w:name w:val="Footnote Text Char"/>
    <w:link w:val="8"/>
    <w:semiHidden/>
    <w:unhideWhenUsed/>
    <w:uiPriority w:val="99"/>
    <w:rPr>
      <w:sz w:val="20"/>
      <w:szCs w:val="20"/>
    </w:r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966</Words>
  <Characters>1092</Characters>
  <TotalTime>6</TotalTime>
  <ScaleCrop>false</ScaleCrop>
  <LinksUpToDate>false</LinksUpToDate>
  <CharactersWithSpaces>1110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2026-04-20T02:14:00Z</dcterms:created>
  <dc:creator>Un-named</dc:creator>
  <cp:lastModifiedBy>未央</cp:lastModifiedBy>
  <dcterms:modified xsi:type="dcterms:W3CDTF">2026-04-20T02:21:28Z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eyJoZGlkIjoiYjQyYjVlY2UwYmM5ZWEwNzI2YzJjODg0Y2NjYjkwYjMiLCJ1c2VySWQiOiI0NDIyMzU0MTMifQ==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464B23D0C9AA4C72B4E6BD9423237B3E_12</vt:lpwstr>
  </property>
</Properties>
</file>