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72CA39">
      <w:pPr>
        <w:pStyle w:val="13"/>
        <w:rPr>
          <w:rFonts w:hint="default" w:ascii="仿宋" w:hAnsi="仿宋" w:eastAsia="仿宋" w:cs="仿宋"/>
          <w:sz w:val="28"/>
          <w:szCs w:val="28"/>
          <w:lang w:val="en-US" w:eastAsia="zh-CN"/>
        </w:rPr>
      </w:pPr>
      <w:bookmarkStart w:id="0" w:name="_GoBack"/>
      <w:bookmarkEnd w:id="0"/>
      <w:r>
        <w:rPr>
          <w:rFonts w:hint="eastAsia" w:ascii="仿宋" w:hAnsi="仿宋" w:eastAsia="仿宋" w:cs="仿宋"/>
          <w:sz w:val="28"/>
          <w:szCs w:val="28"/>
          <w:lang w:val="en-US" w:eastAsia="zh-CN"/>
        </w:rPr>
        <w:t>附件一：</w:t>
      </w:r>
    </w:p>
    <w:p w14:paraId="5E551DB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b/>
          <w:color w:val="auto"/>
          <w:sz w:val="36"/>
          <w:szCs w:val="36"/>
          <w:highlight w:val="none"/>
          <w:lang w:val="en-US"/>
        </w:rPr>
      </w:pPr>
      <w:r>
        <w:rPr>
          <w:rFonts w:hint="eastAsia" w:asciiTheme="minorEastAsia" w:hAnsiTheme="minorEastAsia" w:cstheme="minorEastAsia"/>
          <w:b/>
          <w:color w:val="auto"/>
          <w:sz w:val="36"/>
          <w:szCs w:val="36"/>
          <w:highlight w:val="none"/>
          <w:lang w:val="en-US" w:eastAsia="zh-CN"/>
        </w:rPr>
        <w:t>服务方案</w:t>
      </w:r>
    </w:p>
    <w:p w14:paraId="56CFC18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sz w:val="24"/>
        </w:rPr>
      </w:pPr>
      <w:r>
        <w:rPr>
          <w:rFonts w:hint="eastAsia" w:ascii="宋体" w:hAnsi="宋体"/>
          <w:b/>
          <w:sz w:val="24"/>
        </w:rPr>
        <w:t>一、消防设施维保范围：</w:t>
      </w:r>
      <w:r>
        <w:rPr>
          <w:rFonts w:hint="eastAsia" w:ascii="宋体" w:hAnsi="宋体"/>
          <w:b w:val="0"/>
          <w:bCs/>
          <w:sz w:val="24"/>
          <w:lang w:val="en-US" w:eastAsia="zh-CN"/>
        </w:rPr>
        <w:t>淳安县第一人民医院</w:t>
      </w:r>
      <w:r>
        <w:rPr>
          <w:rFonts w:hint="eastAsia" w:ascii="宋体" w:hAnsi="宋体"/>
          <w:sz w:val="24"/>
        </w:rPr>
        <w:t>的消防设施进行维护保养服务。</w:t>
      </w:r>
    </w:p>
    <w:p w14:paraId="6F71AF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1、火灾自动报警系统、</w:t>
      </w:r>
    </w:p>
    <w:p w14:paraId="355CDE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2、消火栓系统、</w:t>
      </w:r>
    </w:p>
    <w:p w14:paraId="21F61C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3、自动喷水灭火系统、</w:t>
      </w:r>
    </w:p>
    <w:p w14:paraId="50239C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4、防排烟系统、</w:t>
      </w:r>
    </w:p>
    <w:p w14:paraId="65CDABFC">
      <w:pPr>
        <w:spacing w:line="360" w:lineRule="auto"/>
        <w:ind w:firstLine="480" w:firstLineChars="200"/>
        <w:rPr>
          <w:rFonts w:hint="eastAsia" w:ascii="宋体" w:hAnsi="宋体"/>
          <w:sz w:val="24"/>
        </w:rPr>
      </w:pPr>
      <w:r>
        <w:rPr>
          <w:rFonts w:hint="eastAsia" w:ascii="宋体" w:hAnsi="宋体"/>
          <w:sz w:val="24"/>
        </w:rPr>
        <w:t>5、防火分隔系统、</w:t>
      </w:r>
    </w:p>
    <w:p w14:paraId="2504D605">
      <w:pPr>
        <w:spacing w:line="360" w:lineRule="auto"/>
        <w:ind w:firstLine="480" w:firstLineChars="200"/>
        <w:rPr>
          <w:rFonts w:ascii="宋体" w:hAnsi="宋体"/>
          <w:sz w:val="24"/>
        </w:rPr>
      </w:pPr>
      <w:r>
        <w:rPr>
          <w:rFonts w:hint="eastAsia" w:ascii="宋体" w:hAnsi="宋体"/>
          <w:sz w:val="24"/>
        </w:rPr>
        <w:t>6、消防应急照明系统；</w:t>
      </w:r>
    </w:p>
    <w:p w14:paraId="77D2039B">
      <w:pPr>
        <w:spacing w:line="360" w:lineRule="auto"/>
        <w:ind w:firstLine="480" w:firstLineChars="200"/>
        <w:rPr>
          <w:rFonts w:ascii="宋体" w:hAnsi="宋体"/>
          <w:sz w:val="24"/>
        </w:rPr>
      </w:pPr>
      <w:r>
        <w:rPr>
          <w:rFonts w:hint="eastAsia" w:ascii="宋体" w:hAnsi="宋体"/>
          <w:sz w:val="24"/>
        </w:rPr>
        <w:t>7</w:t>
      </w:r>
      <w:r>
        <w:rPr>
          <w:rFonts w:ascii="宋体" w:hAnsi="宋体"/>
          <w:sz w:val="24"/>
        </w:rPr>
        <w:t>.</w:t>
      </w:r>
      <w:r>
        <w:rPr>
          <w:rFonts w:hint="eastAsia" w:ascii="宋体" w:hAnsi="宋体"/>
          <w:sz w:val="24"/>
        </w:rPr>
        <w:t>消防主机：自动报警系统，自动喷淋灭火系统、室内消火系统、防排烟系统、消防安全疏散系统、消防联运系统；</w:t>
      </w:r>
    </w:p>
    <w:p w14:paraId="386C25DE">
      <w:pPr>
        <w:spacing w:line="360" w:lineRule="auto"/>
        <w:rPr>
          <w:rFonts w:ascii="宋体" w:hAnsi="宋体"/>
          <w:b/>
          <w:sz w:val="24"/>
        </w:rPr>
      </w:pPr>
      <w:r>
        <w:rPr>
          <w:rFonts w:hint="eastAsia" w:ascii="宋体" w:hAnsi="宋体"/>
          <w:b/>
          <w:sz w:val="24"/>
        </w:rPr>
        <w:t>二、消防设施设备维护维保服务要求</w:t>
      </w:r>
    </w:p>
    <w:p w14:paraId="26CC08A8">
      <w:pPr>
        <w:spacing w:line="360" w:lineRule="auto"/>
        <w:ind w:firstLine="480" w:firstLineChars="200"/>
        <w:rPr>
          <w:rFonts w:hint="eastAsia" w:ascii="宋体" w:hAnsi="宋体"/>
          <w:color w:val="auto"/>
          <w:sz w:val="24"/>
        </w:rPr>
      </w:pPr>
      <w:r>
        <w:rPr>
          <w:rFonts w:hint="eastAsia" w:ascii="宋体" w:hAnsi="宋体"/>
          <w:sz w:val="24"/>
        </w:rPr>
        <w:t>1、</w:t>
      </w:r>
      <w:r>
        <w:rPr>
          <w:rFonts w:hint="eastAsia" w:ascii="宋体" w:hAnsi="宋体"/>
          <w:color w:val="auto"/>
          <w:sz w:val="24"/>
          <w:u w:val="single"/>
        </w:rPr>
        <w:t>维保单位同时也应具有购买设备、维修的资质</w:t>
      </w:r>
      <w:r>
        <w:rPr>
          <w:rFonts w:hint="eastAsia" w:ascii="宋体" w:hAnsi="宋体"/>
          <w:color w:val="auto"/>
          <w:sz w:val="24"/>
          <w:u w:val="single"/>
          <w:lang w:eastAsia="zh-CN"/>
        </w:rPr>
        <w:t>，可以开具维修发票</w:t>
      </w:r>
      <w:r>
        <w:rPr>
          <w:rFonts w:hint="eastAsia" w:ascii="宋体" w:hAnsi="宋体"/>
          <w:color w:val="auto"/>
          <w:sz w:val="24"/>
          <w:u w:val="single"/>
        </w:rPr>
        <w:t>。</w:t>
      </w:r>
    </w:p>
    <w:p w14:paraId="17B39A73">
      <w:pPr>
        <w:spacing w:line="360" w:lineRule="auto"/>
        <w:ind w:firstLine="480" w:firstLineChars="200"/>
        <w:rPr>
          <w:rFonts w:ascii="宋体" w:hAnsi="宋体"/>
          <w:sz w:val="24"/>
          <w:highlight w:val="none"/>
        </w:rPr>
      </w:pPr>
      <w:r>
        <w:rPr>
          <w:rFonts w:hint="eastAsia" w:ascii="宋体" w:hAnsi="宋体"/>
          <w:sz w:val="24"/>
        </w:rPr>
        <w:t>2、维保服务公司按日常维护保养项目（内容）和要求进行维护保养。并按</w:t>
      </w:r>
      <w:r>
        <w:rPr>
          <w:rFonts w:hint="eastAsia" w:ascii="宋体" w:hAnsi="宋体"/>
          <w:sz w:val="24"/>
          <w:highlight w:val="none"/>
        </w:rPr>
        <w:t>新的消防条例对应建立维护保养和故障记录。经场库管理人员签字确认并存档；</w:t>
      </w:r>
    </w:p>
    <w:p w14:paraId="68735D56">
      <w:pPr>
        <w:spacing w:line="360" w:lineRule="auto"/>
        <w:ind w:firstLine="480" w:firstLineChars="200"/>
        <w:rPr>
          <w:rFonts w:ascii="宋体" w:hAnsi="宋体"/>
          <w:sz w:val="24"/>
          <w:highlight w:val="none"/>
        </w:rPr>
      </w:pPr>
      <w:r>
        <w:rPr>
          <w:rFonts w:hint="eastAsia" w:ascii="宋体" w:hAnsi="宋体"/>
          <w:sz w:val="24"/>
          <w:highlight w:val="none"/>
        </w:rPr>
        <w:t>3、出具</w:t>
      </w:r>
      <w:r>
        <w:rPr>
          <w:rFonts w:hint="eastAsia" w:ascii="宋体" w:hAnsi="宋体"/>
          <w:sz w:val="24"/>
          <w:highlight w:val="none"/>
          <w:lang w:eastAsia="zh-CN"/>
        </w:rPr>
        <w:t>月度</w:t>
      </w:r>
      <w:r>
        <w:rPr>
          <w:rFonts w:hint="eastAsia" w:ascii="宋体" w:hAnsi="宋体"/>
          <w:sz w:val="24"/>
          <w:highlight w:val="none"/>
        </w:rPr>
        <w:t>检查报告，检查报告需包含检查结果，需要维修建议，配件材料及报价清单。</w:t>
      </w:r>
    </w:p>
    <w:p w14:paraId="024B8BD7">
      <w:pPr>
        <w:spacing w:line="360" w:lineRule="auto"/>
        <w:ind w:firstLine="480" w:firstLineChars="200"/>
        <w:rPr>
          <w:rFonts w:ascii="宋体" w:hAnsi="宋体"/>
          <w:sz w:val="24"/>
          <w:highlight w:val="none"/>
        </w:rPr>
      </w:pPr>
      <w:r>
        <w:rPr>
          <w:rFonts w:hint="eastAsia" w:ascii="宋体" w:hAnsi="宋体"/>
          <w:sz w:val="24"/>
          <w:highlight w:val="none"/>
        </w:rPr>
        <w:t>4、在提供服务或其服务领域发生因人身财产损害（包括第三方损害）等所引发的一切纠纷，均由维保服务公司承担；</w:t>
      </w:r>
    </w:p>
    <w:p w14:paraId="75D1A8FB">
      <w:pPr>
        <w:spacing w:line="360" w:lineRule="auto"/>
        <w:rPr>
          <w:rFonts w:hint="eastAsia" w:ascii="宋体" w:hAnsi="宋体"/>
          <w:b/>
          <w:sz w:val="24"/>
          <w:highlight w:val="none"/>
        </w:rPr>
      </w:pPr>
      <w:r>
        <w:rPr>
          <w:rFonts w:hint="eastAsia" w:ascii="宋体" w:hAnsi="宋体"/>
          <w:b/>
          <w:sz w:val="24"/>
          <w:highlight w:val="none"/>
        </w:rPr>
        <w:t>三、服务响应时间</w:t>
      </w:r>
    </w:p>
    <w:p w14:paraId="7BB26671">
      <w:pPr>
        <w:spacing w:line="360" w:lineRule="auto"/>
        <w:ind w:firstLine="480" w:firstLineChars="200"/>
        <w:rPr>
          <w:rFonts w:ascii="宋体" w:hAnsi="宋体"/>
          <w:sz w:val="24"/>
          <w:highlight w:val="none"/>
        </w:rPr>
      </w:pPr>
      <w:r>
        <w:rPr>
          <w:rFonts w:hint="eastAsia" w:ascii="宋体" w:hAnsi="宋体"/>
          <w:sz w:val="24"/>
          <w:highlight w:val="none"/>
        </w:rPr>
        <w:t>1、在接到紧急召修后，维保服务公司</w:t>
      </w:r>
      <w:r>
        <w:rPr>
          <w:rFonts w:ascii="宋体" w:hAnsi="宋体"/>
          <w:sz w:val="24"/>
          <w:highlight w:val="none"/>
        </w:rPr>
        <w:t>30</w:t>
      </w:r>
      <w:r>
        <w:rPr>
          <w:rFonts w:hint="eastAsia" w:ascii="宋体" w:hAnsi="宋体"/>
          <w:sz w:val="24"/>
          <w:highlight w:val="none"/>
        </w:rPr>
        <w:t>分钟内赶赴现场进行故障排查：一般故障要求</w:t>
      </w:r>
      <w:r>
        <w:rPr>
          <w:rFonts w:ascii="宋体" w:hAnsi="宋体"/>
          <w:sz w:val="24"/>
          <w:highlight w:val="none"/>
        </w:rPr>
        <w:t>60</w:t>
      </w:r>
      <w:r>
        <w:rPr>
          <w:rFonts w:hint="eastAsia" w:ascii="宋体" w:hAnsi="宋体"/>
          <w:sz w:val="24"/>
          <w:highlight w:val="none"/>
        </w:rPr>
        <w:t>分钟内到现场解决，明确解决时间和方式，</w:t>
      </w:r>
      <w:r>
        <w:rPr>
          <w:rFonts w:ascii="宋体" w:hAnsi="宋体"/>
          <w:sz w:val="24"/>
          <w:highlight w:val="none"/>
        </w:rPr>
        <w:t>24</w:t>
      </w:r>
      <w:r>
        <w:rPr>
          <w:rFonts w:hint="eastAsia" w:ascii="宋体" w:hAnsi="宋体"/>
          <w:sz w:val="24"/>
          <w:highlight w:val="none"/>
        </w:rPr>
        <w:t>小时内仍不能排除的，明确紧急替换方案，并报消防部门备案。</w:t>
      </w:r>
    </w:p>
    <w:p w14:paraId="32FDDA7D">
      <w:pPr>
        <w:spacing w:line="360" w:lineRule="auto"/>
        <w:ind w:firstLine="480" w:firstLineChars="200"/>
        <w:rPr>
          <w:rFonts w:ascii="宋体" w:hAnsi="宋体"/>
          <w:sz w:val="24"/>
          <w:highlight w:val="none"/>
        </w:rPr>
      </w:pPr>
      <w:r>
        <w:rPr>
          <w:rFonts w:hint="eastAsia" w:ascii="宋体" w:hAnsi="宋体"/>
          <w:sz w:val="24"/>
          <w:highlight w:val="none"/>
        </w:rPr>
        <w:t>2、维保服务公司提供</w:t>
      </w:r>
      <w:r>
        <w:rPr>
          <w:rFonts w:ascii="宋体" w:hAnsi="宋体"/>
          <w:sz w:val="24"/>
          <w:highlight w:val="none"/>
        </w:rPr>
        <w:t>365</w:t>
      </w:r>
      <w:r>
        <w:rPr>
          <w:rFonts w:hint="eastAsia" w:ascii="宋体" w:hAnsi="宋体"/>
          <w:sz w:val="24"/>
          <w:highlight w:val="none"/>
        </w:rPr>
        <w:t>天×</w:t>
      </w:r>
      <w:r>
        <w:rPr>
          <w:rFonts w:ascii="宋体" w:hAnsi="宋体"/>
          <w:sz w:val="24"/>
          <w:highlight w:val="none"/>
        </w:rPr>
        <w:t>24</w:t>
      </w:r>
      <w:r>
        <w:rPr>
          <w:rFonts w:hint="eastAsia" w:ascii="宋体" w:hAnsi="宋体"/>
          <w:sz w:val="24"/>
          <w:highlight w:val="none"/>
        </w:rPr>
        <w:t>小时服务热线。</w:t>
      </w:r>
    </w:p>
    <w:p w14:paraId="60955ECD">
      <w:pPr>
        <w:spacing w:line="360" w:lineRule="auto"/>
        <w:rPr>
          <w:rFonts w:hint="eastAsia" w:ascii="宋体" w:hAnsi="宋体"/>
          <w:b/>
          <w:sz w:val="24"/>
          <w:highlight w:val="none"/>
        </w:rPr>
      </w:pPr>
      <w:r>
        <w:rPr>
          <w:rFonts w:hint="eastAsia" w:ascii="宋体" w:hAnsi="宋体"/>
          <w:b/>
          <w:sz w:val="24"/>
          <w:highlight w:val="none"/>
        </w:rPr>
        <w:t>四、服务标准</w:t>
      </w:r>
    </w:p>
    <w:p w14:paraId="5B4D8B80">
      <w:pPr>
        <w:spacing w:line="360" w:lineRule="auto"/>
        <w:ind w:firstLine="420" w:firstLineChars="200"/>
        <w:rPr>
          <w:color w:val="000000"/>
          <w:highlight w:val="none"/>
        </w:rPr>
      </w:pPr>
      <w:r>
        <w:rPr>
          <w:rFonts w:hint="eastAsia"/>
          <w:color w:val="000000"/>
          <w:highlight w:val="none"/>
        </w:rPr>
        <w:t>1、</w:t>
      </w:r>
      <w:r>
        <w:rPr>
          <w:rFonts w:hint="eastAsia" w:ascii="宋体" w:hAnsi="宋体"/>
          <w:sz w:val="24"/>
          <w:highlight w:val="none"/>
        </w:rPr>
        <w:t>按照消防部门的要求对本项目所包含消防设施的进行列行检查和维护保养，并提交月检、季检、半年报告及维护保养记录。</w:t>
      </w:r>
    </w:p>
    <w:p w14:paraId="3711E562">
      <w:pPr>
        <w:spacing w:line="360" w:lineRule="auto"/>
        <w:ind w:firstLine="480" w:firstLineChars="200"/>
        <w:rPr>
          <w:rFonts w:hint="eastAsia" w:ascii="宋体" w:hAnsi="宋体"/>
          <w:sz w:val="24"/>
          <w:highlight w:val="none"/>
        </w:rPr>
      </w:pPr>
      <w:r>
        <w:rPr>
          <w:rFonts w:hint="eastAsia" w:ascii="宋体" w:hAnsi="宋体"/>
          <w:sz w:val="24"/>
          <w:highlight w:val="none"/>
        </w:rPr>
        <w:t>2、每季度为采购人培训设备上岗操作人员，讲解有关消防设备使用，火场逃生，火灾救护等方面的知识</w:t>
      </w:r>
      <w:r>
        <w:rPr>
          <w:rFonts w:hint="eastAsia" w:ascii="宋体" w:hAnsi="宋体"/>
          <w:sz w:val="24"/>
          <w:highlight w:val="none"/>
          <w:lang w:val="en-US" w:eastAsia="zh-CN"/>
        </w:rPr>
        <w:t>,有培训、演练记录</w:t>
      </w:r>
      <w:r>
        <w:rPr>
          <w:rFonts w:hint="eastAsia" w:ascii="宋体" w:hAnsi="宋体"/>
          <w:sz w:val="24"/>
          <w:highlight w:val="none"/>
        </w:rPr>
        <w:t>。</w:t>
      </w:r>
    </w:p>
    <w:p w14:paraId="6A0804CD">
      <w:pPr>
        <w:spacing w:line="360" w:lineRule="auto"/>
        <w:ind w:firstLine="480" w:firstLineChars="200"/>
        <w:rPr>
          <w:rFonts w:hint="eastAsia" w:ascii="宋体" w:hAnsi="宋体"/>
          <w:sz w:val="24"/>
          <w:highlight w:val="none"/>
        </w:rPr>
      </w:pPr>
      <w:r>
        <w:rPr>
          <w:rFonts w:hint="eastAsia" w:ascii="宋体" w:hAnsi="宋体"/>
          <w:sz w:val="24"/>
          <w:highlight w:val="none"/>
        </w:rPr>
        <w:t>3、配合用户举办火灾消防演习。</w:t>
      </w:r>
    </w:p>
    <w:p w14:paraId="260D9D25">
      <w:pPr>
        <w:spacing w:line="360" w:lineRule="auto"/>
        <w:ind w:firstLine="480" w:firstLineChars="200"/>
        <w:rPr>
          <w:rFonts w:hint="eastAsia" w:ascii="宋体" w:hAnsi="宋体"/>
          <w:color w:val="auto"/>
          <w:sz w:val="24"/>
        </w:rPr>
      </w:pPr>
      <w:r>
        <w:rPr>
          <w:rFonts w:hint="eastAsia" w:ascii="宋体" w:hAnsi="宋体"/>
          <w:color w:val="auto"/>
          <w:sz w:val="24"/>
        </w:rPr>
        <w:t>4、对易污染、易腐蚀生锈的消防设备、管道、阀门定期淸洁、除锈、注润滑剂、刷漆。</w:t>
      </w:r>
    </w:p>
    <w:p w14:paraId="44169FFC">
      <w:pPr>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5、如遇单位建筑施工（需拆装消防设施）的，维保单位应积极主动予以以配合。</w:t>
      </w:r>
    </w:p>
    <w:p w14:paraId="3EB707CF">
      <w:pPr>
        <w:spacing w:line="312" w:lineRule="auto"/>
        <w:rPr>
          <w:rFonts w:hint="eastAsia" w:ascii="仿宋_GB2312" w:hAnsi="仿宋_GB2312" w:eastAsia="仿宋_GB2312" w:cs="仿宋_GB2312"/>
          <w:bCs/>
          <w:sz w:val="28"/>
          <w:szCs w:val="28"/>
        </w:rPr>
      </w:pPr>
    </w:p>
    <w:p w14:paraId="020BEF9E">
      <w:pPr>
        <w:spacing w:line="312" w:lineRule="auto"/>
        <w:rPr>
          <w:rFonts w:hint="eastAsia" w:ascii="仿宋_GB2312" w:hAnsi="仿宋_GB2312" w:eastAsia="仿宋_GB2312" w:cs="仿宋_GB2312"/>
          <w:bCs/>
          <w:sz w:val="28"/>
          <w:szCs w:val="28"/>
        </w:rPr>
      </w:pPr>
    </w:p>
    <w:p w14:paraId="756EB327">
      <w:pPr>
        <w:pStyle w:val="2"/>
        <w:numPr>
          <w:ilvl w:val="1"/>
          <w:numId w:val="0"/>
        </w:numPr>
        <w:ind w:leftChars="0"/>
        <w:rPr>
          <w:rFonts w:hint="eastAsia"/>
        </w:rPr>
      </w:pPr>
    </w:p>
    <w:p w14:paraId="2E35623D">
      <w:pPr>
        <w:widowControl/>
        <w:numPr>
          <w:ilvl w:val="0"/>
          <w:numId w:val="0"/>
        </w:numPr>
        <w:shd w:val="clear" w:color="auto" w:fill="FFFFFF"/>
        <w:overflowPunct w:val="0"/>
        <w:spacing w:line="360" w:lineRule="exact"/>
        <w:ind w:firstLine="3213" w:firstLineChars="1000"/>
        <w:jc w:val="left"/>
        <w:outlineLvl w:val="3"/>
        <w:rPr>
          <w:rFonts w:hint="eastAsia" w:ascii="仿宋_GB2312" w:eastAsia="仿宋_GB2312"/>
          <w:b/>
          <w:bCs/>
          <w:color w:val="000000"/>
          <w:sz w:val="32"/>
          <w:szCs w:val="32"/>
          <w:lang w:val="en-US" w:eastAsia="zh-CN"/>
        </w:rPr>
      </w:pPr>
      <w:r>
        <w:rPr>
          <w:rFonts w:hint="eastAsia" w:ascii="仿宋_GB2312" w:eastAsia="仿宋_GB2312"/>
          <w:b/>
          <w:bCs/>
          <w:color w:val="000000"/>
          <w:sz w:val="32"/>
          <w:szCs w:val="32"/>
          <w:lang w:val="en-US" w:eastAsia="zh-CN"/>
        </w:rPr>
        <w:t xml:space="preserve"> 报 </w:t>
      </w:r>
      <w:r>
        <w:rPr>
          <w:rFonts w:hint="eastAsia" w:ascii="仿宋_GB2312" w:eastAsia="仿宋_GB2312"/>
          <w:b/>
          <w:bCs/>
          <w:color w:val="000000"/>
          <w:sz w:val="32"/>
          <w:szCs w:val="32"/>
        </w:rPr>
        <w:t>价</w:t>
      </w:r>
      <w:r>
        <w:rPr>
          <w:rFonts w:hint="eastAsia" w:ascii="仿宋_GB2312" w:eastAsia="仿宋_GB2312"/>
          <w:b/>
          <w:bCs/>
          <w:color w:val="000000"/>
          <w:sz w:val="32"/>
          <w:szCs w:val="32"/>
          <w:lang w:val="en-US" w:eastAsia="zh-CN"/>
        </w:rPr>
        <w:t xml:space="preserve"> 表</w:t>
      </w:r>
    </w:p>
    <w:p w14:paraId="65269AF3">
      <w:pPr>
        <w:spacing w:line="312" w:lineRule="auto"/>
        <w:rPr>
          <w:rFonts w:hint="default" w:ascii="宋体" w:hAnsi="宋体" w:eastAsia="宋体" w:cs="宋体"/>
          <w:szCs w:val="21"/>
          <w:lang w:val="en-US" w:eastAsia="zh-CN"/>
        </w:rPr>
      </w:pPr>
    </w:p>
    <w:tbl>
      <w:tblPr>
        <w:tblStyle w:val="7"/>
        <w:tblW w:w="9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6"/>
        <w:gridCol w:w="3613"/>
        <w:gridCol w:w="1455"/>
        <w:gridCol w:w="1124"/>
        <w:gridCol w:w="1380"/>
        <w:gridCol w:w="1284"/>
      </w:tblGrid>
      <w:tr w14:paraId="6D114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986" w:type="dxa"/>
            <w:vAlign w:val="center"/>
          </w:tcPr>
          <w:p w14:paraId="54FBAD72">
            <w:pPr>
              <w:spacing w:line="40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序号</w:t>
            </w:r>
          </w:p>
        </w:tc>
        <w:tc>
          <w:tcPr>
            <w:tcW w:w="3613" w:type="dxa"/>
            <w:vAlign w:val="center"/>
          </w:tcPr>
          <w:p w14:paraId="16584B1F">
            <w:pPr>
              <w:spacing w:line="40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名称</w:t>
            </w:r>
          </w:p>
        </w:tc>
        <w:tc>
          <w:tcPr>
            <w:tcW w:w="1455" w:type="dxa"/>
            <w:vAlign w:val="center"/>
          </w:tcPr>
          <w:p w14:paraId="53F4D58E">
            <w:pPr>
              <w:spacing w:line="40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数量</w:t>
            </w:r>
          </w:p>
        </w:tc>
        <w:tc>
          <w:tcPr>
            <w:tcW w:w="1124" w:type="dxa"/>
            <w:vAlign w:val="center"/>
          </w:tcPr>
          <w:p w14:paraId="1F4429B0">
            <w:pPr>
              <w:spacing w:line="40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单位</w:t>
            </w:r>
          </w:p>
        </w:tc>
        <w:tc>
          <w:tcPr>
            <w:tcW w:w="1380" w:type="dxa"/>
            <w:vAlign w:val="center"/>
          </w:tcPr>
          <w:p w14:paraId="43EA49A9">
            <w:pPr>
              <w:spacing w:line="400" w:lineRule="exact"/>
              <w:ind w:firstLine="280" w:firstLineChars="100"/>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报价</w:t>
            </w:r>
          </w:p>
        </w:tc>
        <w:tc>
          <w:tcPr>
            <w:tcW w:w="1284" w:type="dxa"/>
            <w:vAlign w:val="center"/>
          </w:tcPr>
          <w:p w14:paraId="76243FE3">
            <w:pPr>
              <w:spacing w:line="400" w:lineRule="exact"/>
              <w:jc w:val="center"/>
              <w:rPr>
                <w:rFonts w:ascii="仿宋_GB2312" w:hAnsi="仿宋_GB2312" w:eastAsia="仿宋_GB2312" w:cs="仿宋_GB2312"/>
                <w:b/>
                <w:kern w:val="0"/>
                <w:sz w:val="28"/>
                <w:szCs w:val="28"/>
              </w:rPr>
            </w:pPr>
            <w:r>
              <w:rPr>
                <w:rFonts w:hint="eastAsia" w:ascii="仿宋_GB2312" w:hAnsi="仿宋_GB2312" w:eastAsia="仿宋_GB2312" w:cs="仿宋_GB2312"/>
                <w:bCs/>
                <w:kern w:val="0"/>
                <w:sz w:val="28"/>
                <w:szCs w:val="28"/>
              </w:rPr>
              <w:t>备注</w:t>
            </w:r>
          </w:p>
        </w:tc>
      </w:tr>
      <w:tr w14:paraId="4E028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6" w:type="dxa"/>
            <w:vAlign w:val="center"/>
          </w:tcPr>
          <w:p w14:paraId="32E92DEB">
            <w:pPr>
              <w:spacing w:line="24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w:t>
            </w:r>
          </w:p>
        </w:tc>
        <w:tc>
          <w:tcPr>
            <w:tcW w:w="3613" w:type="dxa"/>
            <w:vAlign w:val="center"/>
          </w:tcPr>
          <w:p w14:paraId="0F54B4E6">
            <w:pPr>
              <w:spacing w:line="240" w:lineRule="exact"/>
              <w:jc w:val="center"/>
              <w:rPr>
                <w:rFonts w:ascii="仿宋_GB2312" w:hAnsi="仿宋_GB2312" w:eastAsia="仿宋_GB2312" w:cs="仿宋_GB2312"/>
                <w:bCs/>
                <w:kern w:val="0"/>
                <w:sz w:val="28"/>
                <w:szCs w:val="28"/>
              </w:rPr>
            </w:pPr>
          </w:p>
        </w:tc>
        <w:tc>
          <w:tcPr>
            <w:tcW w:w="1455" w:type="dxa"/>
            <w:vAlign w:val="center"/>
          </w:tcPr>
          <w:p w14:paraId="2D5D79CF">
            <w:pPr>
              <w:spacing w:line="240" w:lineRule="exact"/>
              <w:jc w:val="center"/>
              <w:rPr>
                <w:rFonts w:ascii="仿宋_GB2312" w:hAnsi="仿宋_GB2312" w:eastAsia="仿宋_GB2312" w:cs="仿宋_GB2312"/>
                <w:bCs/>
                <w:kern w:val="0"/>
                <w:sz w:val="28"/>
                <w:szCs w:val="28"/>
              </w:rPr>
            </w:pPr>
          </w:p>
        </w:tc>
        <w:tc>
          <w:tcPr>
            <w:tcW w:w="1124" w:type="dxa"/>
            <w:vAlign w:val="center"/>
          </w:tcPr>
          <w:p w14:paraId="72E1AFB9">
            <w:pPr>
              <w:spacing w:line="240" w:lineRule="exact"/>
              <w:jc w:val="center"/>
              <w:rPr>
                <w:rFonts w:ascii="仿宋_GB2312" w:hAnsi="仿宋_GB2312" w:eastAsia="仿宋_GB2312" w:cs="仿宋_GB2312"/>
                <w:bCs/>
                <w:kern w:val="0"/>
                <w:sz w:val="28"/>
                <w:szCs w:val="28"/>
              </w:rPr>
            </w:pPr>
          </w:p>
        </w:tc>
        <w:tc>
          <w:tcPr>
            <w:tcW w:w="1380" w:type="dxa"/>
            <w:vAlign w:val="center"/>
          </w:tcPr>
          <w:p w14:paraId="217F0A70">
            <w:pPr>
              <w:spacing w:line="240" w:lineRule="exact"/>
              <w:jc w:val="center"/>
              <w:rPr>
                <w:rFonts w:ascii="仿宋_GB2312" w:hAnsi="仿宋_GB2312" w:eastAsia="仿宋_GB2312" w:cs="仿宋_GB2312"/>
                <w:bCs/>
                <w:kern w:val="0"/>
                <w:sz w:val="28"/>
                <w:szCs w:val="28"/>
              </w:rPr>
            </w:pPr>
          </w:p>
        </w:tc>
        <w:tc>
          <w:tcPr>
            <w:tcW w:w="1284" w:type="dxa"/>
            <w:vAlign w:val="center"/>
          </w:tcPr>
          <w:p w14:paraId="707CE36D">
            <w:pPr>
              <w:spacing w:line="240" w:lineRule="exact"/>
              <w:jc w:val="center"/>
              <w:rPr>
                <w:rFonts w:ascii="仿宋_GB2312" w:hAnsi="仿宋_GB2312" w:eastAsia="仿宋_GB2312" w:cs="仿宋_GB2312"/>
                <w:bCs/>
                <w:kern w:val="0"/>
                <w:sz w:val="28"/>
                <w:szCs w:val="28"/>
              </w:rPr>
            </w:pPr>
          </w:p>
        </w:tc>
      </w:tr>
      <w:tr w14:paraId="6F9F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6" w:type="dxa"/>
            <w:vAlign w:val="center"/>
          </w:tcPr>
          <w:p w14:paraId="73E5101B">
            <w:pPr>
              <w:spacing w:line="24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2</w:t>
            </w:r>
          </w:p>
        </w:tc>
        <w:tc>
          <w:tcPr>
            <w:tcW w:w="3613" w:type="dxa"/>
            <w:vAlign w:val="center"/>
          </w:tcPr>
          <w:p w14:paraId="1ADC8A0F">
            <w:pPr>
              <w:spacing w:line="240" w:lineRule="exact"/>
              <w:jc w:val="center"/>
              <w:rPr>
                <w:rFonts w:ascii="仿宋_GB2312" w:hAnsi="仿宋_GB2312" w:eastAsia="仿宋_GB2312" w:cs="仿宋_GB2312"/>
                <w:bCs/>
                <w:kern w:val="0"/>
                <w:sz w:val="28"/>
                <w:szCs w:val="28"/>
              </w:rPr>
            </w:pPr>
          </w:p>
        </w:tc>
        <w:tc>
          <w:tcPr>
            <w:tcW w:w="1455" w:type="dxa"/>
            <w:vAlign w:val="center"/>
          </w:tcPr>
          <w:p w14:paraId="08B71ACF">
            <w:pPr>
              <w:spacing w:line="240" w:lineRule="exact"/>
              <w:jc w:val="center"/>
              <w:rPr>
                <w:rFonts w:ascii="仿宋_GB2312" w:hAnsi="仿宋_GB2312" w:eastAsia="仿宋_GB2312" w:cs="仿宋_GB2312"/>
                <w:bCs/>
                <w:kern w:val="0"/>
                <w:sz w:val="28"/>
                <w:szCs w:val="28"/>
              </w:rPr>
            </w:pPr>
          </w:p>
        </w:tc>
        <w:tc>
          <w:tcPr>
            <w:tcW w:w="1124" w:type="dxa"/>
            <w:vAlign w:val="center"/>
          </w:tcPr>
          <w:p w14:paraId="154EF10C">
            <w:pPr>
              <w:spacing w:line="240" w:lineRule="exact"/>
              <w:jc w:val="center"/>
              <w:rPr>
                <w:rFonts w:ascii="仿宋_GB2312" w:hAnsi="仿宋_GB2312" w:eastAsia="仿宋_GB2312" w:cs="仿宋_GB2312"/>
                <w:bCs/>
                <w:kern w:val="0"/>
                <w:sz w:val="28"/>
                <w:szCs w:val="28"/>
              </w:rPr>
            </w:pPr>
          </w:p>
        </w:tc>
        <w:tc>
          <w:tcPr>
            <w:tcW w:w="1380" w:type="dxa"/>
            <w:vAlign w:val="center"/>
          </w:tcPr>
          <w:p w14:paraId="434FB6A7">
            <w:pPr>
              <w:spacing w:line="240" w:lineRule="exact"/>
              <w:jc w:val="center"/>
              <w:rPr>
                <w:rFonts w:ascii="仿宋_GB2312" w:hAnsi="仿宋_GB2312" w:eastAsia="仿宋_GB2312" w:cs="仿宋_GB2312"/>
                <w:bCs/>
                <w:kern w:val="0"/>
                <w:sz w:val="28"/>
                <w:szCs w:val="28"/>
              </w:rPr>
            </w:pPr>
          </w:p>
        </w:tc>
        <w:tc>
          <w:tcPr>
            <w:tcW w:w="1284" w:type="dxa"/>
            <w:vAlign w:val="center"/>
          </w:tcPr>
          <w:p w14:paraId="125DF3D3">
            <w:pPr>
              <w:spacing w:line="240" w:lineRule="exact"/>
              <w:jc w:val="center"/>
              <w:rPr>
                <w:rFonts w:ascii="仿宋_GB2312" w:hAnsi="仿宋_GB2312" w:eastAsia="仿宋_GB2312" w:cs="仿宋_GB2312"/>
                <w:bCs/>
                <w:kern w:val="0"/>
                <w:sz w:val="28"/>
                <w:szCs w:val="28"/>
              </w:rPr>
            </w:pPr>
          </w:p>
        </w:tc>
      </w:tr>
      <w:tr w14:paraId="37EB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6" w:type="dxa"/>
            <w:vAlign w:val="center"/>
          </w:tcPr>
          <w:p w14:paraId="010F24B5">
            <w:pPr>
              <w:spacing w:line="24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3</w:t>
            </w:r>
          </w:p>
        </w:tc>
        <w:tc>
          <w:tcPr>
            <w:tcW w:w="3613" w:type="dxa"/>
            <w:vAlign w:val="center"/>
          </w:tcPr>
          <w:p w14:paraId="5DDD277D">
            <w:pPr>
              <w:spacing w:line="240" w:lineRule="exact"/>
              <w:jc w:val="center"/>
              <w:rPr>
                <w:rFonts w:ascii="仿宋_GB2312" w:hAnsi="仿宋_GB2312" w:eastAsia="仿宋_GB2312" w:cs="仿宋_GB2312"/>
                <w:bCs/>
                <w:kern w:val="0"/>
                <w:sz w:val="28"/>
                <w:szCs w:val="28"/>
              </w:rPr>
            </w:pPr>
          </w:p>
        </w:tc>
        <w:tc>
          <w:tcPr>
            <w:tcW w:w="1455" w:type="dxa"/>
            <w:vAlign w:val="center"/>
          </w:tcPr>
          <w:p w14:paraId="464D625F">
            <w:pPr>
              <w:spacing w:line="240" w:lineRule="exact"/>
              <w:jc w:val="center"/>
              <w:rPr>
                <w:rFonts w:ascii="仿宋_GB2312" w:hAnsi="仿宋_GB2312" w:eastAsia="仿宋_GB2312" w:cs="仿宋_GB2312"/>
                <w:bCs/>
                <w:kern w:val="0"/>
                <w:sz w:val="28"/>
                <w:szCs w:val="28"/>
              </w:rPr>
            </w:pPr>
          </w:p>
        </w:tc>
        <w:tc>
          <w:tcPr>
            <w:tcW w:w="1124" w:type="dxa"/>
            <w:vAlign w:val="center"/>
          </w:tcPr>
          <w:p w14:paraId="7FD739F4">
            <w:pPr>
              <w:spacing w:line="240" w:lineRule="exact"/>
              <w:jc w:val="center"/>
              <w:rPr>
                <w:rFonts w:ascii="仿宋_GB2312" w:hAnsi="仿宋_GB2312" w:eastAsia="仿宋_GB2312" w:cs="仿宋_GB2312"/>
                <w:bCs/>
                <w:kern w:val="0"/>
                <w:sz w:val="28"/>
                <w:szCs w:val="28"/>
              </w:rPr>
            </w:pPr>
          </w:p>
        </w:tc>
        <w:tc>
          <w:tcPr>
            <w:tcW w:w="1380" w:type="dxa"/>
            <w:vAlign w:val="center"/>
          </w:tcPr>
          <w:p w14:paraId="5552B339">
            <w:pPr>
              <w:spacing w:line="240" w:lineRule="exact"/>
              <w:jc w:val="center"/>
              <w:rPr>
                <w:rFonts w:ascii="仿宋_GB2312" w:hAnsi="仿宋_GB2312" w:eastAsia="仿宋_GB2312" w:cs="仿宋_GB2312"/>
                <w:bCs/>
                <w:kern w:val="0"/>
                <w:sz w:val="28"/>
                <w:szCs w:val="28"/>
              </w:rPr>
            </w:pPr>
          </w:p>
        </w:tc>
        <w:tc>
          <w:tcPr>
            <w:tcW w:w="1284" w:type="dxa"/>
            <w:vAlign w:val="center"/>
          </w:tcPr>
          <w:p w14:paraId="23AA1FD1">
            <w:pPr>
              <w:spacing w:line="240" w:lineRule="exact"/>
              <w:jc w:val="center"/>
              <w:rPr>
                <w:rFonts w:ascii="仿宋_GB2312" w:hAnsi="仿宋_GB2312" w:eastAsia="仿宋_GB2312" w:cs="仿宋_GB2312"/>
                <w:bCs/>
                <w:kern w:val="0"/>
                <w:sz w:val="28"/>
                <w:szCs w:val="28"/>
              </w:rPr>
            </w:pPr>
          </w:p>
        </w:tc>
      </w:tr>
      <w:tr w14:paraId="01F7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6" w:type="dxa"/>
            <w:vAlign w:val="center"/>
          </w:tcPr>
          <w:p w14:paraId="08B594F4">
            <w:pPr>
              <w:spacing w:line="24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4</w:t>
            </w:r>
          </w:p>
        </w:tc>
        <w:tc>
          <w:tcPr>
            <w:tcW w:w="3613" w:type="dxa"/>
            <w:vAlign w:val="center"/>
          </w:tcPr>
          <w:p w14:paraId="2F2A7E03">
            <w:pPr>
              <w:spacing w:line="240" w:lineRule="exact"/>
              <w:jc w:val="center"/>
              <w:rPr>
                <w:rFonts w:ascii="仿宋_GB2312" w:hAnsi="仿宋_GB2312" w:eastAsia="仿宋_GB2312" w:cs="仿宋_GB2312"/>
                <w:bCs/>
                <w:kern w:val="0"/>
                <w:sz w:val="28"/>
                <w:szCs w:val="28"/>
              </w:rPr>
            </w:pPr>
          </w:p>
        </w:tc>
        <w:tc>
          <w:tcPr>
            <w:tcW w:w="1455" w:type="dxa"/>
            <w:vAlign w:val="center"/>
          </w:tcPr>
          <w:p w14:paraId="7F96E5C7">
            <w:pPr>
              <w:spacing w:line="240" w:lineRule="exact"/>
              <w:jc w:val="center"/>
              <w:rPr>
                <w:rFonts w:ascii="仿宋_GB2312" w:hAnsi="仿宋_GB2312" w:eastAsia="仿宋_GB2312" w:cs="仿宋_GB2312"/>
                <w:bCs/>
                <w:kern w:val="0"/>
                <w:sz w:val="28"/>
                <w:szCs w:val="28"/>
              </w:rPr>
            </w:pPr>
          </w:p>
        </w:tc>
        <w:tc>
          <w:tcPr>
            <w:tcW w:w="1124" w:type="dxa"/>
            <w:vAlign w:val="center"/>
          </w:tcPr>
          <w:p w14:paraId="6794A51C">
            <w:pPr>
              <w:spacing w:line="240" w:lineRule="exact"/>
              <w:jc w:val="center"/>
              <w:rPr>
                <w:rFonts w:ascii="仿宋_GB2312" w:hAnsi="仿宋_GB2312" w:eastAsia="仿宋_GB2312" w:cs="仿宋_GB2312"/>
                <w:bCs/>
                <w:kern w:val="0"/>
                <w:sz w:val="28"/>
                <w:szCs w:val="28"/>
              </w:rPr>
            </w:pPr>
          </w:p>
        </w:tc>
        <w:tc>
          <w:tcPr>
            <w:tcW w:w="1380" w:type="dxa"/>
            <w:vAlign w:val="center"/>
          </w:tcPr>
          <w:p w14:paraId="0D11D5CD">
            <w:pPr>
              <w:spacing w:line="240" w:lineRule="exact"/>
              <w:jc w:val="center"/>
              <w:rPr>
                <w:rFonts w:ascii="仿宋_GB2312" w:hAnsi="仿宋_GB2312" w:eastAsia="仿宋_GB2312" w:cs="仿宋_GB2312"/>
                <w:bCs/>
                <w:kern w:val="0"/>
                <w:sz w:val="28"/>
                <w:szCs w:val="28"/>
              </w:rPr>
            </w:pPr>
          </w:p>
        </w:tc>
        <w:tc>
          <w:tcPr>
            <w:tcW w:w="1284" w:type="dxa"/>
            <w:vAlign w:val="center"/>
          </w:tcPr>
          <w:p w14:paraId="58D42FE9">
            <w:pPr>
              <w:spacing w:line="240" w:lineRule="exact"/>
              <w:jc w:val="center"/>
              <w:rPr>
                <w:rFonts w:ascii="仿宋_GB2312" w:hAnsi="仿宋_GB2312" w:eastAsia="仿宋_GB2312" w:cs="仿宋_GB2312"/>
                <w:bCs/>
                <w:kern w:val="0"/>
                <w:sz w:val="28"/>
                <w:szCs w:val="28"/>
              </w:rPr>
            </w:pPr>
          </w:p>
        </w:tc>
      </w:tr>
      <w:tr w14:paraId="153B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6" w:type="dxa"/>
            <w:vAlign w:val="center"/>
          </w:tcPr>
          <w:p w14:paraId="4A34AB0C">
            <w:pPr>
              <w:spacing w:line="24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w:t>
            </w:r>
          </w:p>
        </w:tc>
        <w:tc>
          <w:tcPr>
            <w:tcW w:w="3613" w:type="dxa"/>
            <w:vAlign w:val="center"/>
          </w:tcPr>
          <w:p w14:paraId="5917F40B">
            <w:pPr>
              <w:spacing w:line="240" w:lineRule="exact"/>
              <w:jc w:val="center"/>
              <w:rPr>
                <w:rFonts w:ascii="仿宋_GB2312" w:hAnsi="仿宋_GB2312" w:eastAsia="仿宋_GB2312" w:cs="仿宋_GB2312"/>
                <w:bCs/>
                <w:kern w:val="0"/>
                <w:sz w:val="28"/>
                <w:szCs w:val="28"/>
              </w:rPr>
            </w:pPr>
          </w:p>
        </w:tc>
        <w:tc>
          <w:tcPr>
            <w:tcW w:w="1455" w:type="dxa"/>
            <w:vAlign w:val="center"/>
          </w:tcPr>
          <w:p w14:paraId="79123769">
            <w:pPr>
              <w:spacing w:line="240" w:lineRule="exact"/>
              <w:jc w:val="center"/>
              <w:rPr>
                <w:rFonts w:ascii="仿宋_GB2312" w:hAnsi="仿宋_GB2312" w:eastAsia="仿宋_GB2312" w:cs="仿宋_GB2312"/>
                <w:bCs/>
                <w:kern w:val="0"/>
                <w:sz w:val="28"/>
                <w:szCs w:val="28"/>
              </w:rPr>
            </w:pPr>
          </w:p>
        </w:tc>
        <w:tc>
          <w:tcPr>
            <w:tcW w:w="1124" w:type="dxa"/>
            <w:vAlign w:val="center"/>
          </w:tcPr>
          <w:p w14:paraId="5AFEECAE">
            <w:pPr>
              <w:spacing w:line="240" w:lineRule="exact"/>
              <w:jc w:val="center"/>
              <w:rPr>
                <w:rFonts w:ascii="仿宋_GB2312" w:hAnsi="仿宋_GB2312" w:eastAsia="仿宋_GB2312" w:cs="仿宋_GB2312"/>
                <w:bCs/>
                <w:kern w:val="0"/>
                <w:sz w:val="28"/>
                <w:szCs w:val="28"/>
              </w:rPr>
            </w:pPr>
          </w:p>
        </w:tc>
        <w:tc>
          <w:tcPr>
            <w:tcW w:w="1380" w:type="dxa"/>
            <w:vAlign w:val="center"/>
          </w:tcPr>
          <w:p w14:paraId="7710039D">
            <w:pPr>
              <w:spacing w:line="240" w:lineRule="exact"/>
              <w:jc w:val="center"/>
              <w:rPr>
                <w:rFonts w:ascii="仿宋_GB2312" w:hAnsi="仿宋_GB2312" w:eastAsia="仿宋_GB2312" w:cs="仿宋_GB2312"/>
                <w:bCs/>
                <w:kern w:val="0"/>
                <w:sz w:val="28"/>
                <w:szCs w:val="28"/>
              </w:rPr>
            </w:pPr>
          </w:p>
        </w:tc>
        <w:tc>
          <w:tcPr>
            <w:tcW w:w="1284" w:type="dxa"/>
            <w:vAlign w:val="center"/>
          </w:tcPr>
          <w:p w14:paraId="13A3979E">
            <w:pPr>
              <w:spacing w:line="240" w:lineRule="exact"/>
              <w:jc w:val="center"/>
              <w:rPr>
                <w:rFonts w:ascii="仿宋_GB2312" w:hAnsi="仿宋_GB2312" w:eastAsia="仿宋_GB2312" w:cs="仿宋_GB2312"/>
                <w:bCs/>
                <w:kern w:val="0"/>
                <w:sz w:val="28"/>
                <w:szCs w:val="28"/>
              </w:rPr>
            </w:pPr>
          </w:p>
        </w:tc>
      </w:tr>
      <w:tr w14:paraId="6C301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6" w:type="dxa"/>
            <w:vAlign w:val="center"/>
          </w:tcPr>
          <w:p w14:paraId="4E7761FB">
            <w:pPr>
              <w:spacing w:line="24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6</w:t>
            </w:r>
          </w:p>
        </w:tc>
        <w:tc>
          <w:tcPr>
            <w:tcW w:w="3613" w:type="dxa"/>
            <w:vAlign w:val="center"/>
          </w:tcPr>
          <w:p w14:paraId="09776A20">
            <w:pPr>
              <w:spacing w:line="240" w:lineRule="exact"/>
              <w:jc w:val="center"/>
              <w:rPr>
                <w:rFonts w:ascii="仿宋_GB2312" w:hAnsi="仿宋_GB2312" w:eastAsia="仿宋_GB2312" w:cs="仿宋_GB2312"/>
                <w:bCs/>
                <w:kern w:val="0"/>
                <w:sz w:val="28"/>
                <w:szCs w:val="28"/>
              </w:rPr>
            </w:pPr>
          </w:p>
        </w:tc>
        <w:tc>
          <w:tcPr>
            <w:tcW w:w="1455" w:type="dxa"/>
            <w:vAlign w:val="center"/>
          </w:tcPr>
          <w:p w14:paraId="7F27FADB">
            <w:pPr>
              <w:spacing w:line="240" w:lineRule="exact"/>
              <w:jc w:val="center"/>
              <w:rPr>
                <w:rFonts w:ascii="仿宋_GB2312" w:hAnsi="仿宋_GB2312" w:eastAsia="仿宋_GB2312" w:cs="仿宋_GB2312"/>
                <w:bCs/>
                <w:kern w:val="0"/>
                <w:sz w:val="28"/>
                <w:szCs w:val="28"/>
              </w:rPr>
            </w:pPr>
          </w:p>
        </w:tc>
        <w:tc>
          <w:tcPr>
            <w:tcW w:w="1124" w:type="dxa"/>
            <w:vAlign w:val="center"/>
          </w:tcPr>
          <w:p w14:paraId="0F9D9BB3">
            <w:pPr>
              <w:spacing w:line="240" w:lineRule="exact"/>
              <w:jc w:val="center"/>
              <w:rPr>
                <w:rFonts w:ascii="仿宋_GB2312" w:hAnsi="仿宋_GB2312" w:eastAsia="仿宋_GB2312" w:cs="仿宋_GB2312"/>
                <w:bCs/>
                <w:kern w:val="0"/>
                <w:sz w:val="28"/>
                <w:szCs w:val="28"/>
              </w:rPr>
            </w:pPr>
          </w:p>
        </w:tc>
        <w:tc>
          <w:tcPr>
            <w:tcW w:w="1380" w:type="dxa"/>
            <w:vAlign w:val="center"/>
          </w:tcPr>
          <w:p w14:paraId="6155A14C">
            <w:pPr>
              <w:spacing w:line="240" w:lineRule="exact"/>
              <w:jc w:val="center"/>
              <w:rPr>
                <w:rFonts w:ascii="仿宋_GB2312" w:hAnsi="仿宋_GB2312" w:eastAsia="仿宋_GB2312" w:cs="仿宋_GB2312"/>
                <w:bCs/>
                <w:kern w:val="0"/>
                <w:sz w:val="28"/>
                <w:szCs w:val="28"/>
              </w:rPr>
            </w:pPr>
          </w:p>
        </w:tc>
        <w:tc>
          <w:tcPr>
            <w:tcW w:w="1284" w:type="dxa"/>
            <w:vAlign w:val="center"/>
          </w:tcPr>
          <w:p w14:paraId="1BCCC83F">
            <w:pPr>
              <w:spacing w:line="240" w:lineRule="exact"/>
              <w:jc w:val="center"/>
              <w:rPr>
                <w:rFonts w:ascii="仿宋_GB2312" w:hAnsi="仿宋_GB2312" w:eastAsia="仿宋_GB2312" w:cs="仿宋_GB2312"/>
                <w:bCs/>
                <w:kern w:val="0"/>
                <w:sz w:val="28"/>
                <w:szCs w:val="28"/>
              </w:rPr>
            </w:pPr>
          </w:p>
        </w:tc>
      </w:tr>
      <w:tr w14:paraId="64FF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6" w:type="dxa"/>
            <w:vAlign w:val="center"/>
          </w:tcPr>
          <w:p w14:paraId="273A1C65">
            <w:pPr>
              <w:spacing w:line="24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7</w:t>
            </w:r>
          </w:p>
        </w:tc>
        <w:tc>
          <w:tcPr>
            <w:tcW w:w="3613" w:type="dxa"/>
            <w:vAlign w:val="center"/>
          </w:tcPr>
          <w:p w14:paraId="62846746">
            <w:pPr>
              <w:spacing w:line="240" w:lineRule="exact"/>
              <w:jc w:val="center"/>
              <w:rPr>
                <w:rFonts w:ascii="仿宋_GB2312" w:hAnsi="仿宋_GB2312" w:eastAsia="仿宋_GB2312" w:cs="仿宋_GB2312"/>
                <w:bCs/>
                <w:kern w:val="0"/>
                <w:sz w:val="28"/>
                <w:szCs w:val="28"/>
              </w:rPr>
            </w:pPr>
          </w:p>
        </w:tc>
        <w:tc>
          <w:tcPr>
            <w:tcW w:w="1455" w:type="dxa"/>
            <w:vAlign w:val="center"/>
          </w:tcPr>
          <w:p w14:paraId="60D0CCC5">
            <w:pPr>
              <w:spacing w:line="240" w:lineRule="exact"/>
              <w:jc w:val="center"/>
              <w:rPr>
                <w:rFonts w:ascii="仿宋_GB2312" w:hAnsi="仿宋_GB2312" w:eastAsia="仿宋_GB2312" w:cs="仿宋_GB2312"/>
                <w:bCs/>
                <w:kern w:val="0"/>
                <w:sz w:val="28"/>
                <w:szCs w:val="28"/>
              </w:rPr>
            </w:pPr>
          </w:p>
        </w:tc>
        <w:tc>
          <w:tcPr>
            <w:tcW w:w="1124" w:type="dxa"/>
            <w:vAlign w:val="center"/>
          </w:tcPr>
          <w:p w14:paraId="2FC90FAA">
            <w:pPr>
              <w:spacing w:line="240" w:lineRule="exact"/>
              <w:jc w:val="center"/>
              <w:rPr>
                <w:rFonts w:ascii="仿宋_GB2312" w:hAnsi="仿宋_GB2312" w:eastAsia="仿宋_GB2312" w:cs="仿宋_GB2312"/>
                <w:bCs/>
                <w:kern w:val="0"/>
                <w:sz w:val="28"/>
                <w:szCs w:val="28"/>
              </w:rPr>
            </w:pPr>
          </w:p>
        </w:tc>
        <w:tc>
          <w:tcPr>
            <w:tcW w:w="1380" w:type="dxa"/>
            <w:vAlign w:val="center"/>
          </w:tcPr>
          <w:p w14:paraId="41606A9A">
            <w:pPr>
              <w:spacing w:line="240" w:lineRule="exact"/>
              <w:jc w:val="center"/>
              <w:rPr>
                <w:rFonts w:ascii="仿宋_GB2312" w:hAnsi="仿宋_GB2312" w:eastAsia="仿宋_GB2312" w:cs="仿宋_GB2312"/>
                <w:bCs/>
                <w:kern w:val="0"/>
                <w:sz w:val="28"/>
                <w:szCs w:val="28"/>
              </w:rPr>
            </w:pPr>
          </w:p>
        </w:tc>
        <w:tc>
          <w:tcPr>
            <w:tcW w:w="1284" w:type="dxa"/>
            <w:vAlign w:val="center"/>
          </w:tcPr>
          <w:p w14:paraId="4E20AA96">
            <w:pPr>
              <w:spacing w:line="240" w:lineRule="exact"/>
              <w:jc w:val="center"/>
              <w:rPr>
                <w:rFonts w:ascii="仿宋_GB2312" w:hAnsi="仿宋_GB2312" w:eastAsia="仿宋_GB2312" w:cs="仿宋_GB2312"/>
                <w:bCs/>
                <w:kern w:val="0"/>
                <w:sz w:val="28"/>
                <w:szCs w:val="28"/>
              </w:rPr>
            </w:pPr>
          </w:p>
        </w:tc>
      </w:tr>
      <w:tr w14:paraId="4677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6" w:type="dxa"/>
            <w:vAlign w:val="center"/>
          </w:tcPr>
          <w:p w14:paraId="77573C30">
            <w:pPr>
              <w:spacing w:line="24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8</w:t>
            </w:r>
          </w:p>
        </w:tc>
        <w:tc>
          <w:tcPr>
            <w:tcW w:w="3613" w:type="dxa"/>
            <w:vAlign w:val="center"/>
          </w:tcPr>
          <w:p w14:paraId="509DB5DF">
            <w:pPr>
              <w:spacing w:line="240" w:lineRule="exact"/>
              <w:jc w:val="center"/>
              <w:rPr>
                <w:rFonts w:ascii="仿宋_GB2312" w:hAnsi="仿宋_GB2312" w:eastAsia="仿宋_GB2312" w:cs="仿宋_GB2312"/>
                <w:bCs/>
                <w:kern w:val="0"/>
                <w:sz w:val="28"/>
                <w:szCs w:val="28"/>
              </w:rPr>
            </w:pPr>
          </w:p>
        </w:tc>
        <w:tc>
          <w:tcPr>
            <w:tcW w:w="1455" w:type="dxa"/>
            <w:vAlign w:val="center"/>
          </w:tcPr>
          <w:p w14:paraId="07ACDF25">
            <w:pPr>
              <w:spacing w:line="240" w:lineRule="exact"/>
              <w:jc w:val="center"/>
              <w:rPr>
                <w:rFonts w:ascii="仿宋_GB2312" w:hAnsi="仿宋_GB2312" w:eastAsia="仿宋_GB2312" w:cs="仿宋_GB2312"/>
                <w:bCs/>
                <w:kern w:val="0"/>
                <w:sz w:val="28"/>
                <w:szCs w:val="28"/>
              </w:rPr>
            </w:pPr>
          </w:p>
        </w:tc>
        <w:tc>
          <w:tcPr>
            <w:tcW w:w="1124" w:type="dxa"/>
            <w:vAlign w:val="center"/>
          </w:tcPr>
          <w:p w14:paraId="26AE9EE9">
            <w:pPr>
              <w:spacing w:line="240" w:lineRule="exact"/>
              <w:jc w:val="center"/>
              <w:rPr>
                <w:rFonts w:ascii="仿宋_GB2312" w:hAnsi="仿宋_GB2312" w:eastAsia="仿宋_GB2312" w:cs="仿宋_GB2312"/>
                <w:bCs/>
                <w:kern w:val="0"/>
                <w:sz w:val="28"/>
                <w:szCs w:val="28"/>
              </w:rPr>
            </w:pPr>
          </w:p>
        </w:tc>
        <w:tc>
          <w:tcPr>
            <w:tcW w:w="1380" w:type="dxa"/>
            <w:vAlign w:val="center"/>
          </w:tcPr>
          <w:p w14:paraId="0A1243AA">
            <w:pPr>
              <w:spacing w:line="240" w:lineRule="exact"/>
              <w:jc w:val="center"/>
              <w:rPr>
                <w:rFonts w:ascii="仿宋_GB2312" w:hAnsi="仿宋_GB2312" w:eastAsia="仿宋_GB2312" w:cs="仿宋_GB2312"/>
                <w:bCs/>
                <w:kern w:val="0"/>
                <w:sz w:val="28"/>
                <w:szCs w:val="28"/>
              </w:rPr>
            </w:pPr>
          </w:p>
        </w:tc>
        <w:tc>
          <w:tcPr>
            <w:tcW w:w="1284" w:type="dxa"/>
            <w:vAlign w:val="center"/>
          </w:tcPr>
          <w:p w14:paraId="4A1EEE13">
            <w:pPr>
              <w:spacing w:line="240" w:lineRule="exact"/>
              <w:jc w:val="center"/>
              <w:rPr>
                <w:rFonts w:ascii="仿宋_GB2312" w:hAnsi="仿宋_GB2312" w:eastAsia="仿宋_GB2312" w:cs="仿宋_GB2312"/>
                <w:bCs/>
                <w:kern w:val="0"/>
                <w:sz w:val="28"/>
                <w:szCs w:val="28"/>
              </w:rPr>
            </w:pPr>
          </w:p>
        </w:tc>
      </w:tr>
      <w:tr w14:paraId="4B128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6" w:type="dxa"/>
            <w:vAlign w:val="center"/>
          </w:tcPr>
          <w:p w14:paraId="5E0D6D46">
            <w:pPr>
              <w:spacing w:line="24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9</w:t>
            </w:r>
          </w:p>
        </w:tc>
        <w:tc>
          <w:tcPr>
            <w:tcW w:w="3613" w:type="dxa"/>
            <w:vAlign w:val="center"/>
          </w:tcPr>
          <w:p w14:paraId="08A8EC74">
            <w:pPr>
              <w:spacing w:line="240" w:lineRule="exact"/>
              <w:jc w:val="center"/>
              <w:rPr>
                <w:rFonts w:ascii="仿宋_GB2312" w:hAnsi="仿宋_GB2312" w:eastAsia="仿宋_GB2312" w:cs="仿宋_GB2312"/>
                <w:bCs/>
                <w:kern w:val="0"/>
                <w:sz w:val="28"/>
                <w:szCs w:val="28"/>
              </w:rPr>
            </w:pPr>
          </w:p>
        </w:tc>
        <w:tc>
          <w:tcPr>
            <w:tcW w:w="1455" w:type="dxa"/>
            <w:vAlign w:val="center"/>
          </w:tcPr>
          <w:p w14:paraId="23D76F0A">
            <w:pPr>
              <w:spacing w:line="240" w:lineRule="exact"/>
              <w:jc w:val="center"/>
              <w:rPr>
                <w:rFonts w:ascii="仿宋_GB2312" w:hAnsi="仿宋_GB2312" w:eastAsia="仿宋_GB2312" w:cs="仿宋_GB2312"/>
                <w:bCs/>
                <w:kern w:val="0"/>
                <w:sz w:val="28"/>
                <w:szCs w:val="28"/>
              </w:rPr>
            </w:pPr>
          </w:p>
        </w:tc>
        <w:tc>
          <w:tcPr>
            <w:tcW w:w="1124" w:type="dxa"/>
            <w:vAlign w:val="center"/>
          </w:tcPr>
          <w:p w14:paraId="2D67FBF7">
            <w:pPr>
              <w:spacing w:line="240" w:lineRule="exact"/>
              <w:jc w:val="center"/>
              <w:rPr>
                <w:rFonts w:ascii="仿宋_GB2312" w:hAnsi="仿宋_GB2312" w:eastAsia="仿宋_GB2312" w:cs="仿宋_GB2312"/>
                <w:bCs/>
                <w:kern w:val="0"/>
                <w:sz w:val="28"/>
                <w:szCs w:val="28"/>
              </w:rPr>
            </w:pPr>
          </w:p>
        </w:tc>
        <w:tc>
          <w:tcPr>
            <w:tcW w:w="1380" w:type="dxa"/>
            <w:vAlign w:val="center"/>
          </w:tcPr>
          <w:p w14:paraId="5402DC12">
            <w:pPr>
              <w:spacing w:line="240" w:lineRule="exact"/>
              <w:jc w:val="center"/>
              <w:rPr>
                <w:rFonts w:ascii="仿宋_GB2312" w:hAnsi="仿宋_GB2312" w:eastAsia="仿宋_GB2312" w:cs="仿宋_GB2312"/>
                <w:bCs/>
                <w:kern w:val="0"/>
                <w:sz w:val="28"/>
                <w:szCs w:val="28"/>
              </w:rPr>
            </w:pPr>
          </w:p>
        </w:tc>
        <w:tc>
          <w:tcPr>
            <w:tcW w:w="1284" w:type="dxa"/>
            <w:vAlign w:val="center"/>
          </w:tcPr>
          <w:p w14:paraId="694662D5">
            <w:pPr>
              <w:spacing w:line="240" w:lineRule="exact"/>
              <w:jc w:val="center"/>
              <w:rPr>
                <w:rFonts w:ascii="仿宋_GB2312" w:hAnsi="仿宋_GB2312" w:eastAsia="仿宋_GB2312" w:cs="仿宋_GB2312"/>
                <w:bCs/>
                <w:kern w:val="0"/>
                <w:sz w:val="28"/>
                <w:szCs w:val="28"/>
              </w:rPr>
            </w:pPr>
          </w:p>
        </w:tc>
      </w:tr>
      <w:tr w14:paraId="07BA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86" w:type="dxa"/>
            <w:vAlign w:val="center"/>
          </w:tcPr>
          <w:p w14:paraId="1DE9C62A">
            <w:pPr>
              <w:spacing w:line="24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10</w:t>
            </w:r>
          </w:p>
        </w:tc>
        <w:tc>
          <w:tcPr>
            <w:tcW w:w="3613" w:type="dxa"/>
            <w:vAlign w:val="center"/>
          </w:tcPr>
          <w:p w14:paraId="2A8D2FFB">
            <w:pPr>
              <w:spacing w:line="240" w:lineRule="exact"/>
              <w:jc w:val="center"/>
              <w:rPr>
                <w:rFonts w:ascii="仿宋_GB2312" w:hAnsi="仿宋_GB2312" w:eastAsia="仿宋_GB2312" w:cs="仿宋_GB2312"/>
                <w:bCs/>
                <w:kern w:val="0"/>
                <w:sz w:val="28"/>
                <w:szCs w:val="28"/>
              </w:rPr>
            </w:pPr>
          </w:p>
        </w:tc>
        <w:tc>
          <w:tcPr>
            <w:tcW w:w="1455" w:type="dxa"/>
            <w:vAlign w:val="center"/>
          </w:tcPr>
          <w:p w14:paraId="61291DD6">
            <w:pPr>
              <w:spacing w:line="240" w:lineRule="exact"/>
              <w:jc w:val="center"/>
              <w:rPr>
                <w:rFonts w:ascii="仿宋_GB2312" w:hAnsi="仿宋_GB2312" w:eastAsia="仿宋_GB2312" w:cs="仿宋_GB2312"/>
                <w:bCs/>
                <w:kern w:val="0"/>
                <w:sz w:val="28"/>
                <w:szCs w:val="28"/>
              </w:rPr>
            </w:pPr>
          </w:p>
        </w:tc>
        <w:tc>
          <w:tcPr>
            <w:tcW w:w="1124" w:type="dxa"/>
            <w:vAlign w:val="center"/>
          </w:tcPr>
          <w:p w14:paraId="59E4124B">
            <w:pPr>
              <w:spacing w:line="240" w:lineRule="exact"/>
              <w:jc w:val="center"/>
              <w:rPr>
                <w:rFonts w:ascii="仿宋_GB2312" w:hAnsi="仿宋_GB2312" w:eastAsia="仿宋_GB2312" w:cs="仿宋_GB2312"/>
                <w:bCs/>
                <w:kern w:val="0"/>
                <w:sz w:val="28"/>
                <w:szCs w:val="28"/>
              </w:rPr>
            </w:pPr>
          </w:p>
        </w:tc>
        <w:tc>
          <w:tcPr>
            <w:tcW w:w="1380" w:type="dxa"/>
            <w:vAlign w:val="center"/>
          </w:tcPr>
          <w:p w14:paraId="7A59B340">
            <w:pPr>
              <w:spacing w:line="240" w:lineRule="exact"/>
              <w:jc w:val="center"/>
              <w:rPr>
                <w:rFonts w:ascii="仿宋_GB2312" w:hAnsi="仿宋_GB2312" w:eastAsia="仿宋_GB2312" w:cs="仿宋_GB2312"/>
                <w:bCs/>
                <w:kern w:val="0"/>
                <w:sz w:val="28"/>
                <w:szCs w:val="28"/>
              </w:rPr>
            </w:pPr>
          </w:p>
        </w:tc>
        <w:tc>
          <w:tcPr>
            <w:tcW w:w="1284" w:type="dxa"/>
            <w:vAlign w:val="center"/>
          </w:tcPr>
          <w:p w14:paraId="666F688F">
            <w:pPr>
              <w:spacing w:line="240" w:lineRule="exact"/>
              <w:jc w:val="center"/>
              <w:rPr>
                <w:rFonts w:ascii="仿宋_GB2312" w:hAnsi="仿宋_GB2312" w:eastAsia="仿宋_GB2312" w:cs="仿宋_GB2312"/>
                <w:bCs/>
                <w:kern w:val="0"/>
                <w:sz w:val="28"/>
                <w:szCs w:val="28"/>
              </w:rPr>
            </w:pPr>
          </w:p>
        </w:tc>
      </w:tr>
      <w:tr w14:paraId="06B52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exact"/>
          <w:jc w:val="center"/>
        </w:trPr>
        <w:tc>
          <w:tcPr>
            <w:tcW w:w="8558" w:type="dxa"/>
            <w:gridSpan w:val="5"/>
            <w:vAlign w:val="center"/>
          </w:tcPr>
          <w:p w14:paraId="6BB6E8E4">
            <w:pPr>
              <w:spacing w:line="240" w:lineRule="exact"/>
              <w:jc w:val="center"/>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lang w:val="en-US" w:eastAsia="zh-CN"/>
              </w:rPr>
              <w:t>总</w:t>
            </w:r>
            <w:r>
              <w:rPr>
                <w:rFonts w:hint="eastAsia" w:ascii="仿宋_GB2312" w:hAnsi="仿宋_GB2312" w:eastAsia="仿宋_GB2312" w:cs="仿宋_GB2312"/>
                <w:bCs/>
                <w:kern w:val="0"/>
                <w:sz w:val="28"/>
                <w:szCs w:val="28"/>
              </w:rPr>
              <w:t>计</w:t>
            </w:r>
          </w:p>
        </w:tc>
        <w:tc>
          <w:tcPr>
            <w:tcW w:w="1284" w:type="dxa"/>
            <w:vAlign w:val="center"/>
          </w:tcPr>
          <w:p w14:paraId="51597AD1">
            <w:pPr>
              <w:spacing w:line="240" w:lineRule="exact"/>
              <w:jc w:val="center"/>
              <w:rPr>
                <w:rFonts w:ascii="仿宋_GB2312" w:hAnsi="仿宋_GB2312" w:eastAsia="仿宋_GB2312" w:cs="仿宋_GB2312"/>
                <w:bCs/>
                <w:kern w:val="0"/>
                <w:sz w:val="28"/>
                <w:szCs w:val="28"/>
              </w:rPr>
            </w:pPr>
          </w:p>
        </w:tc>
      </w:tr>
    </w:tbl>
    <w:p w14:paraId="759C8B07">
      <w:pPr>
        <w:pStyle w:val="13"/>
        <w:ind w:firstLine="560" w:firstLineChars="200"/>
        <w:rPr>
          <w:rFonts w:hint="default" w:ascii="仿宋" w:hAnsi="仿宋" w:eastAsia="仿宋" w:cs="仿宋"/>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宋体|呯堈...">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multilevel"/>
    <w:tmpl w:val="FFFFFF89"/>
    <w:lvl w:ilvl="0" w:tentative="0">
      <w:start w:val="1"/>
      <w:numFmt w:val="bullet"/>
      <w:lvlText w:val=""/>
      <w:lvlJc w:val="left"/>
      <w:pPr>
        <w:tabs>
          <w:tab w:val="left" w:pos="360"/>
        </w:tabs>
        <w:ind w:left="360" w:hanging="360"/>
      </w:pPr>
      <w:rPr>
        <w:rFonts w:hint="default" w:ascii="Wingdings" w:hAnsi="Wingdings"/>
      </w:rPr>
    </w:lvl>
    <w:lvl w:ilvl="1" w:tentative="0">
      <w:start w:val="1"/>
      <w:numFmt w:val="bullet"/>
      <w:pStyle w:val="2"/>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lYmY5ODE2ZWQzNGY3OWFkODQyYmEyOTEyYmUzYTEifQ=="/>
  </w:docVars>
  <w:rsids>
    <w:rsidRoot w:val="00000000"/>
    <w:rsid w:val="00046CA0"/>
    <w:rsid w:val="07030574"/>
    <w:rsid w:val="091A12E3"/>
    <w:rsid w:val="0C55046C"/>
    <w:rsid w:val="0C8F3D96"/>
    <w:rsid w:val="19141ECE"/>
    <w:rsid w:val="19304EFF"/>
    <w:rsid w:val="193F08F1"/>
    <w:rsid w:val="1C3D736A"/>
    <w:rsid w:val="1C907DE2"/>
    <w:rsid w:val="1DC55869"/>
    <w:rsid w:val="205A5B78"/>
    <w:rsid w:val="22970800"/>
    <w:rsid w:val="24F1163A"/>
    <w:rsid w:val="27BF66D8"/>
    <w:rsid w:val="287F0D0A"/>
    <w:rsid w:val="2AAD6003"/>
    <w:rsid w:val="2C55425C"/>
    <w:rsid w:val="2F042F57"/>
    <w:rsid w:val="30F81207"/>
    <w:rsid w:val="32726D76"/>
    <w:rsid w:val="35CC0C42"/>
    <w:rsid w:val="36B61B40"/>
    <w:rsid w:val="3A8723CC"/>
    <w:rsid w:val="3BE9676F"/>
    <w:rsid w:val="3CCB3BE3"/>
    <w:rsid w:val="3CCD5F73"/>
    <w:rsid w:val="3E464A0C"/>
    <w:rsid w:val="3E621C1F"/>
    <w:rsid w:val="42E95E0D"/>
    <w:rsid w:val="460E1AB7"/>
    <w:rsid w:val="488B0936"/>
    <w:rsid w:val="4B6A19B3"/>
    <w:rsid w:val="56DC0F52"/>
    <w:rsid w:val="5BCF1086"/>
    <w:rsid w:val="5FE13A7D"/>
    <w:rsid w:val="66A22F03"/>
    <w:rsid w:val="66B518F8"/>
    <w:rsid w:val="67ED6B7A"/>
    <w:rsid w:val="68AA7102"/>
    <w:rsid w:val="6D1A237D"/>
    <w:rsid w:val="70622071"/>
    <w:rsid w:val="746D7236"/>
    <w:rsid w:val="75D02172"/>
    <w:rsid w:val="77B070F5"/>
    <w:rsid w:val="7AA65250"/>
    <w:rsid w:val="7CB364CB"/>
    <w:rsid w:val="7E115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9"/>
    <w:pPr>
      <w:keepNext/>
      <w:keepLines/>
      <w:numPr>
        <w:ilvl w:val="1"/>
        <w:numId w:val="1"/>
      </w:numPr>
      <w:tabs>
        <w:tab w:val="left" w:pos="360"/>
        <w:tab w:val="left" w:pos="720"/>
        <w:tab w:val="clear" w:pos="840"/>
      </w:tabs>
      <w:spacing w:before="260" w:after="260" w:line="413" w:lineRule="auto"/>
      <w:ind w:left="567" w:hanging="567"/>
      <w:outlineLvl w:val="1"/>
    </w:pPr>
    <w:rPr>
      <w:rFonts w:ascii="Arial" w:hAnsi="Arial" w:eastAsia="黑体" w:cs="Arial"/>
      <w:b/>
      <w:bCs/>
      <w:sz w:val="32"/>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rPr>
  </w:style>
  <w:style w:type="paragraph" w:styleId="4">
    <w:name w:val="footer"/>
    <w:basedOn w:val="1"/>
    <w:unhideWhenUsed/>
    <w:qFormat/>
    <w:uiPriority w:val="0"/>
    <w:pPr>
      <w:tabs>
        <w:tab w:val="center" w:pos="4153"/>
        <w:tab w:val="right" w:pos="8306"/>
      </w:tabs>
      <w:snapToGrid w:val="0"/>
      <w:jc w:val="left"/>
    </w:pPr>
    <w:rPr>
      <w:color w:val="auto"/>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TML Sample"/>
    <w:basedOn w:val="9"/>
    <w:qFormat/>
    <w:uiPriority w:val="0"/>
    <w:rPr>
      <w:rFonts w:ascii="Courier New" w:hAnsi="Courier New"/>
    </w:rPr>
  </w:style>
  <w:style w:type="paragraph" w:customStyle="1" w:styleId="11">
    <w:name w:val="Default"/>
    <w:next w:val="12"/>
    <w:qFormat/>
    <w:uiPriority w:val="0"/>
    <w:pPr>
      <w:widowControl w:val="0"/>
      <w:autoSpaceDE w:val="0"/>
      <w:autoSpaceDN w:val="0"/>
      <w:adjustRightInd w:val="0"/>
      <w:spacing w:line="360" w:lineRule="auto"/>
    </w:pPr>
    <w:rPr>
      <w:rFonts w:ascii="宋体|呯堈..." w:hAnsi="Calibri" w:eastAsia="宋体|呯堈..." w:cs="宋体|呯堈..."/>
      <w:color w:val="000000"/>
      <w:sz w:val="24"/>
      <w:szCs w:val="24"/>
      <w:lang w:val="en-US" w:eastAsia="zh-CN" w:bidi="ar-SA"/>
    </w:rPr>
  </w:style>
  <w:style w:type="paragraph" w:customStyle="1" w:styleId="12">
    <w:name w:val="toc 7"/>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13">
    <w:name w:val="[Normal]"/>
    <w:qFormat/>
    <w:uiPriority w:val="0"/>
    <w:rPr>
      <w:rFonts w:ascii="宋体" w:hAnsi="宋体" w:eastAsia="宋体" w:cs="Times New Roman"/>
      <w:sz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1297</Words>
  <Characters>1341</Characters>
  <Lines>0</Lines>
  <Paragraphs>0</Paragraphs>
  <TotalTime>0</TotalTime>
  <ScaleCrop>false</ScaleCrop>
  <LinksUpToDate>false</LinksUpToDate>
  <CharactersWithSpaces>1464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A如鱼得水</cp:lastModifiedBy>
  <cp:lastPrinted>2025-05-13T01:35:00Z</cp:lastPrinted>
  <dcterms:modified xsi:type="dcterms:W3CDTF">2025-06-13T08:21:30Z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eyJoZGlkIjoiMDg1MTE2Njg5ZWQwZDI5YjI3Y2FiZGQwYTI1NjhlOGYiLCJ1c2VySWQiOiI1MDg0MDMwMTYifQ==</vt:lpwstr>
  </property>
  <property fmtid="{D5CDD505-2E9C-101B-9397-08002B2CF9AE}" pid="4" name="ICV">
    <vt:lpwstr>1E556FD45E7B49C3A0A0AF128BF34E80_12</vt:lpwstr>
  </property>
</Properties>
</file>