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附件：新增皮肤科美容特需服务价格项目及试行价格表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226"/>
        <w:gridCol w:w="2646"/>
        <w:gridCol w:w="567"/>
        <w:gridCol w:w="802"/>
        <w:gridCol w:w="20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3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特需服务名称</w:t>
            </w:r>
          </w:p>
        </w:tc>
        <w:tc>
          <w:tcPr>
            <w:tcW w:w="1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服务内容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价格（元）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33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炫肌光基础嫩肤</w:t>
            </w:r>
          </w:p>
        </w:tc>
        <w:tc>
          <w:tcPr>
            <w:tcW w:w="158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整体评估，调节激光能量和其他参数，保护医患双方眼睛，准确、微创操作治疗。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1335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87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全面部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33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炫肌光分层抗衰治疗</w:t>
            </w:r>
          </w:p>
        </w:tc>
        <w:tc>
          <w:tcPr>
            <w:tcW w:w="158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整体评估，调节激光能量和其他参数，保护医患双方眼睛，准确、微创、分层操作治疗。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33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58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3000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全面部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133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炫肌光治疗疤痕、皱纹、毛孔粗大等</w:t>
            </w:r>
          </w:p>
        </w:tc>
        <w:tc>
          <w:tcPr>
            <w:tcW w:w="158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整体评估，调节激光能量和其他参数，保护医患双方眼睛，准确、微创操作治疗。</w:t>
            </w: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cm</w:t>
            </w:r>
            <w:r>
              <w:rPr>
                <w:rStyle w:val="4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2</w:t>
            </w: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/次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局部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额头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1500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双面颊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33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8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次</w:t>
            </w:r>
          </w:p>
        </w:tc>
        <w:tc>
          <w:tcPr>
            <w:tcW w:w="4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</w:t>
            </w:r>
          </w:p>
        </w:tc>
        <w:tc>
          <w:tcPr>
            <w:tcW w:w="12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全面部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kZjk0MjI5ZWFlMjZmYThmMzVkODk3YTZkMWEyZTcifQ=="/>
  </w:docVars>
  <w:rsids>
    <w:rsidRoot w:val="7B8808B1"/>
    <w:rsid w:val="7B88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  <w:vertAlign w:val="superscript"/>
    </w:rPr>
  </w:style>
  <w:style w:type="character" w:customStyle="1" w:styleId="5">
    <w:name w:val="font1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2022-12-14T02:18:00Z</dcterms:created>
  <dc:creator>堀北加奈子</dc:creator>
  <cp:lastModifiedBy>堀北加奈子</cp:lastModifiedBy>
  <dcterms:modified xsi:type="dcterms:W3CDTF">2022-12-14T02:19:00Z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45016217F6D54A6292AEA2A1187F6F75</vt:lpwstr>
  </property>
</Properties>
</file>